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FD" w:rsidRDefault="00883156" w:rsidP="005D3AFD">
      <w:pPr>
        <w:pStyle w:val="Titolo2"/>
        <w:spacing w:before="165" w:beforeAutospacing="0" w:after="165" w:afterAutospacing="0"/>
        <w:contextualSpacing/>
        <w:rPr>
          <w:rFonts w:asciiTheme="minorHAnsi" w:hAnsiTheme="minorHAnsi" w:cstheme="minorHAnsi"/>
          <w:i/>
          <w:color w:val="2F2F33"/>
          <w:sz w:val="24"/>
          <w:szCs w:val="24"/>
        </w:rPr>
      </w:pPr>
      <w:r w:rsidRPr="008231C0">
        <w:rPr>
          <w:rFonts w:cstheme="minorHAnsi"/>
          <w:noProof/>
        </w:rPr>
        <mc:AlternateContent>
          <mc:Choice Requires="wps">
            <w:drawing>
              <wp:anchor distT="0" distB="0" distL="114300" distR="114300" simplePos="0" relativeHeight="251659264" behindDoc="0" locked="0" layoutInCell="1" allowOverlap="1" wp14:anchorId="167DF32E" wp14:editId="78E6EE65">
                <wp:simplePos x="0" y="0"/>
                <wp:positionH relativeFrom="column">
                  <wp:posOffset>-203200</wp:posOffset>
                </wp:positionH>
                <wp:positionV relativeFrom="paragraph">
                  <wp:posOffset>-666115</wp:posOffset>
                </wp:positionV>
                <wp:extent cx="3042285" cy="1403985"/>
                <wp:effectExtent l="0" t="0" r="24765" b="1397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403985"/>
                        </a:xfrm>
                        <a:prstGeom prst="rect">
                          <a:avLst/>
                        </a:prstGeom>
                        <a:solidFill>
                          <a:srgbClr val="FFFFFF"/>
                        </a:solidFill>
                        <a:ln w="9525">
                          <a:solidFill>
                            <a:srgbClr val="000000"/>
                          </a:solidFill>
                          <a:miter lim="800000"/>
                          <a:headEnd/>
                          <a:tailEnd/>
                        </a:ln>
                      </wps:spPr>
                      <wps:txbx>
                        <w:txbxContent>
                          <w:p w:rsidR="00883156" w:rsidRDefault="00883156" w:rsidP="00883156">
                            <w:r w:rsidRPr="008231C0">
                              <w:rPr>
                                <w:noProof/>
                                <w:lang w:eastAsia="it-IT"/>
                              </w:rPr>
                              <w:drawing>
                                <wp:inline distT="0" distB="0" distL="0" distR="0" wp14:anchorId="1AB78A85" wp14:editId="0E49C4FF">
                                  <wp:extent cx="583612" cy="571949"/>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412" cy="571753"/>
                                          </a:xfrm>
                                          <a:prstGeom prst="rect">
                                            <a:avLst/>
                                          </a:prstGeom>
                                          <a:noFill/>
                                          <a:ln>
                                            <a:noFill/>
                                          </a:ln>
                                        </pic:spPr>
                                      </pic:pic>
                                    </a:graphicData>
                                  </a:graphic>
                                </wp:inline>
                              </w:drawing>
                            </w:r>
                            <w:r>
                              <w:rPr>
                                <w:noProof/>
                                <w:lang w:eastAsia="it-IT"/>
                              </w:rPr>
                              <w:drawing>
                                <wp:inline distT="0" distB="0" distL="0" distR="0" wp14:anchorId="3F171259" wp14:editId="7327C482">
                                  <wp:extent cx="2943225" cy="39436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3943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6pt;margin-top:-52.45pt;width:239.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">
                <v:textbox style="mso-fit-shape-to-text:t">
                  <w:txbxContent>
                    <w:p w:rsidR="00883156" w:rsidRDefault="00883156" w:rsidP="00883156">
                      <w:r w:rsidRPr="008231C0">
                        <w:rPr>
                          <w:noProof/>
                          <w:lang w:eastAsia="it-IT"/>
                        </w:rPr>
                        <w:drawing>
                          <wp:inline distT="0" distB="0" distL="0" distR="0" wp14:anchorId="1AB78A85" wp14:editId="0E49C4FF">
                            <wp:extent cx="583612" cy="571949"/>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412" cy="571753"/>
                                    </a:xfrm>
                                    <a:prstGeom prst="rect">
                                      <a:avLst/>
                                    </a:prstGeom>
                                    <a:noFill/>
                                    <a:ln>
                                      <a:noFill/>
                                    </a:ln>
                                  </pic:spPr>
                                </pic:pic>
                              </a:graphicData>
                            </a:graphic>
                          </wp:inline>
                        </w:drawing>
                      </w:r>
                      <w:r>
                        <w:rPr>
                          <w:noProof/>
                          <w:lang w:eastAsia="it-IT"/>
                        </w:rPr>
                        <w:drawing>
                          <wp:inline distT="0" distB="0" distL="0" distR="0" wp14:anchorId="3F171259" wp14:editId="7327C482">
                            <wp:extent cx="2943225" cy="39436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394365"/>
                                    </a:xfrm>
                                    <a:prstGeom prst="rect">
                                      <a:avLst/>
                                    </a:prstGeom>
                                    <a:noFill/>
                                    <a:ln>
                                      <a:noFill/>
                                    </a:ln>
                                  </pic:spPr>
                                </pic:pic>
                              </a:graphicData>
                            </a:graphic>
                          </wp:inline>
                        </w:drawing>
                      </w:r>
                    </w:p>
                  </w:txbxContent>
                </v:textbox>
              </v:shape>
            </w:pict>
          </mc:Fallback>
        </mc:AlternateContent>
      </w:r>
    </w:p>
    <w:p w:rsidR="005D3AFD" w:rsidRDefault="005D3AFD" w:rsidP="005D3AFD">
      <w:pPr>
        <w:pStyle w:val="Titolo2"/>
        <w:spacing w:before="165" w:beforeAutospacing="0" w:after="165" w:afterAutospacing="0"/>
        <w:ind w:left="4248" w:firstLine="708"/>
        <w:contextualSpacing/>
        <w:rPr>
          <w:rFonts w:asciiTheme="minorHAnsi" w:hAnsiTheme="minorHAnsi" w:cstheme="minorHAnsi"/>
          <w:i/>
          <w:color w:val="2F2F33"/>
          <w:sz w:val="24"/>
          <w:szCs w:val="24"/>
        </w:rPr>
      </w:pPr>
    </w:p>
    <w:p w:rsidR="005D3AFD" w:rsidRDefault="005D3AFD" w:rsidP="005D3AFD">
      <w:pPr>
        <w:pStyle w:val="Titolo2"/>
        <w:spacing w:before="165" w:beforeAutospacing="0" w:after="165" w:afterAutospacing="0"/>
        <w:ind w:left="4248" w:firstLine="708"/>
        <w:contextualSpacing/>
        <w:rPr>
          <w:rFonts w:asciiTheme="minorHAnsi" w:hAnsiTheme="minorHAnsi" w:cstheme="minorHAnsi"/>
          <w:i/>
          <w:color w:val="2F2F33"/>
          <w:sz w:val="24"/>
          <w:szCs w:val="24"/>
        </w:rPr>
      </w:pPr>
    </w:p>
    <w:p w:rsidR="00883156" w:rsidRDefault="005D3AFD" w:rsidP="003D60DC">
      <w:pPr>
        <w:pStyle w:val="Titolo2"/>
        <w:spacing w:before="165" w:beforeAutospacing="0" w:after="165" w:afterAutospacing="0"/>
        <w:contextualSpacing/>
        <w:rPr>
          <w:rFonts w:asciiTheme="minorHAnsi" w:hAnsiTheme="minorHAnsi" w:cstheme="minorHAnsi"/>
          <w:i/>
          <w:color w:val="2F2F33"/>
          <w:sz w:val="24"/>
          <w:szCs w:val="24"/>
        </w:rPr>
      </w:pPr>
      <w:r w:rsidRPr="005D3AFD">
        <w:rPr>
          <w:rFonts w:asciiTheme="minorHAnsi" w:hAnsiTheme="minorHAnsi" w:cstheme="minorHAnsi"/>
          <w:i/>
          <w:noProof/>
          <w:color w:val="2F2F33"/>
          <w:sz w:val="24"/>
          <w:szCs w:val="24"/>
        </w:rPr>
        <mc:AlternateContent>
          <mc:Choice Requires="wps">
            <w:drawing>
              <wp:anchor distT="0" distB="0" distL="114300" distR="114300" simplePos="0" relativeHeight="251661312" behindDoc="0" locked="0" layoutInCell="1" allowOverlap="1" wp14:anchorId="3590A50F" wp14:editId="0918FE61">
                <wp:simplePos x="0" y="0"/>
                <wp:positionH relativeFrom="column">
                  <wp:posOffset>2544082</wp:posOffset>
                </wp:positionH>
                <wp:positionV relativeFrom="paragraph">
                  <wp:posOffset>194310</wp:posOffset>
                </wp:positionV>
                <wp:extent cx="2079171" cy="936171"/>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171" cy="936171"/>
                        </a:xfrm>
                        <a:prstGeom prst="rect">
                          <a:avLst/>
                        </a:prstGeom>
                        <a:noFill/>
                        <a:ln w="9525">
                          <a:noFill/>
                          <a:miter lim="800000"/>
                          <a:headEnd/>
                          <a:tailEnd/>
                        </a:ln>
                      </wps:spPr>
                      <wps:txbx>
                        <w:txbxContent>
                          <w:p w:rsidR="005D3AFD" w:rsidRPr="00E36538" w:rsidRDefault="005D3AFD">
                            <w:pPr>
                              <w:rPr>
                                <w:color w:val="FFFFFF" w:themeColor="background1"/>
                                <w14:textFill>
                                  <w14:noFill/>
                                </w14:textFill>
                              </w:rPr>
                            </w:pPr>
                            <w:r w:rsidRPr="00E36538">
                              <w:rPr>
                                <w:noProof/>
                                <w:color w:val="FFFFFF" w:themeColor="background1"/>
                                <w:lang w:eastAsia="it-IT"/>
                                <w14:textFill>
                                  <w14:noFill/>
                                </w14:textFill>
                              </w:rPr>
                              <w:drawing>
                                <wp:inline distT="0" distB="0" distL="0" distR="0" wp14:anchorId="1EA07381" wp14:editId="0C7BCDEB">
                                  <wp:extent cx="1856105" cy="70739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105" cy="7073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0.3pt;margin-top:15.3pt;width:163.7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" filled="f" stroked="f">
                <v:textbox>
                  <w:txbxContent>
                    <w:p w:rsidR="005D3AFD" w:rsidRPr="00E36538" w:rsidRDefault="005D3AFD">
                      <w:pPr>
                        <w:rPr>
                          <w:color w:val="FFFFFF" w:themeColor="background1"/>
                          <w14:textFill>
                            <w14:noFill/>
                          </w14:textFill>
                        </w:rPr>
                      </w:pPr>
                      <w:r w:rsidRPr="00E36538">
                        <w:rPr>
                          <w:noProof/>
                          <w:color w:val="FFFFFF" w:themeColor="background1"/>
                          <w:lang w:eastAsia="it-IT"/>
                          <w14:textFill>
                            <w14:noFill/>
                          </w14:textFill>
                        </w:rPr>
                        <w:drawing>
                          <wp:inline distT="0" distB="0" distL="0" distR="0" wp14:anchorId="1EA07381" wp14:editId="0C7BCDEB">
                            <wp:extent cx="1856105" cy="70739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105" cy="707390"/>
                                    </a:xfrm>
                                    <a:prstGeom prst="rect">
                                      <a:avLst/>
                                    </a:prstGeom>
                                    <a:noFill/>
                                    <a:ln>
                                      <a:noFill/>
                                    </a:ln>
                                  </pic:spPr>
                                </pic:pic>
                              </a:graphicData>
                            </a:graphic>
                          </wp:inline>
                        </w:drawing>
                      </w:r>
                    </w:p>
                  </w:txbxContent>
                </v:textbox>
              </v:shape>
            </w:pict>
          </mc:Fallback>
        </mc:AlternateContent>
      </w:r>
      <w:r>
        <w:rPr>
          <w:rFonts w:asciiTheme="minorHAnsi" w:hAnsiTheme="minorHAnsi" w:cstheme="minorHAnsi"/>
          <w:i/>
          <w:color w:val="2F2F33"/>
          <w:sz w:val="24"/>
          <w:szCs w:val="24"/>
        </w:rPr>
        <w:tab/>
      </w:r>
      <w:r>
        <w:rPr>
          <w:rFonts w:asciiTheme="minorHAnsi" w:hAnsiTheme="minorHAnsi" w:cstheme="minorHAnsi"/>
          <w:i/>
          <w:color w:val="2F2F33"/>
          <w:sz w:val="24"/>
          <w:szCs w:val="24"/>
        </w:rPr>
        <w:tab/>
      </w:r>
      <w:r>
        <w:rPr>
          <w:rFonts w:asciiTheme="minorHAnsi" w:hAnsiTheme="minorHAnsi" w:cstheme="minorHAnsi"/>
          <w:i/>
          <w:color w:val="2F2F33"/>
          <w:sz w:val="24"/>
          <w:szCs w:val="24"/>
        </w:rPr>
        <w:tab/>
      </w:r>
      <w:r>
        <w:rPr>
          <w:rFonts w:asciiTheme="minorHAnsi" w:hAnsiTheme="minorHAnsi" w:cstheme="minorHAnsi"/>
          <w:i/>
          <w:color w:val="2F2F33"/>
          <w:sz w:val="24"/>
          <w:szCs w:val="24"/>
        </w:rPr>
        <w:tab/>
      </w:r>
      <w:r>
        <w:rPr>
          <w:rFonts w:asciiTheme="minorHAnsi" w:hAnsiTheme="minorHAnsi" w:cstheme="minorHAnsi"/>
          <w:i/>
          <w:color w:val="2F2F33"/>
          <w:sz w:val="24"/>
          <w:szCs w:val="24"/>
        </w:rPr>
        <w:tab/>
      </w:r>
      <w:r>
        <w:rPr>
          <w:rFonts w:cstheme="minorHAnsi"/>
          <w:noProof/>
        </w:rPr>
        <w:drawing>
          <wp:inline distT="0" distB="0" distL="0" distR="0" wp14:anchorId="6CC35B6D" wp14:editId="1D97524C">
            <wp:extent cx="2460172" cy="194962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0172" cy="1949621"/>
                    </a:xfrm>
                    <a:prstGeom prst="rect">
                      <a:avLst/>
                    </a:prstGeom>
                    <a:noFill/>
                    <a:ln>
                      <a:noFill/>
                    </a:ln>
                  </pic:spPr>
                </pic:pic>
              </a:graphicData>
            </a:graphic>
          </wp:inline>
        </w:drawing>
      </w:r>
    </w:p>
    <w:p w:rsidR="00883156" w:rsidRDefault="00883156" w:rsidP="003D60DC">
      <w:pPr>
        <w:pStyle w:val="Titolo2"/>
        <w:spacing w:before="165" w:beforeAutospacing="0" w:after="165" w:afterAutospacing="0"/>
        <w:contextualSpacing/>
        <w:rPr>
          <w:rFonts w:asciiTheme="minorHAnsi" w:hAnsiTheme="minorHAnsi" w:cstheme="minorHAnsi"/>
          <w:i/>
          <w:color w:val="2F2F33"/>
          <w:sz w:val="24"/>
          <w:szCs w:val="24"/>
        </w:rPr>
      </w:pPr>
      <w:r>
        <w:rPr>
          <w:rFonts w:asciiTheme="minorHAnsi" w:hAnsiTheme="minorHAnsi" w:cstheme="minorHAnsi"/>
          <w:i/>
          <w:color w:val="2F2F33"/>
          <w:sz w:val="24"/>
          <w:szCs w:val="24"/>
        </w:rPr>
        <w:tab/>
      </w:r>
      <w:r>
        <w:rPr>
          <w:rFonts w:asciiTheme="minorHAnsi" w:hAnsiTheme="minorHAnsi" w:cstheme="minorHAnsi"/>
          <w:i/>
          <w:color w:val="2F2F33"/>
          <w:sz w:val="24"/>
          <w:szCs w:val="24"/>
        </w:rPr>
        <w:tab/>
      </w:r>
      <w:r>
        <w:rPr>
          <w:rFonts w:asciiTheme="minorHAnsi" w:hAnsiTheme="minorHAnsi" w:cstheme="minorHAnsi"/>
          <w:i/>
          <w:color w:val="2F2F33"/>
          <w:sz w:val="24"/>
          <w:szCs w:val="24"/>
        </w:rPr>
        <w:tab/>
      </w:r>
      <w:r>
        <w:rPr>
          <w:rFonts w:asciiTheme="minorHAnsi" w:hAnsiTheme="minorHAnsi" w:cstheme="minorHAnsi"/>
          <w:i/>
          <w:color w:val="2F2F33"/>
          <w:sz w:val="24"/>
          <w:szCs w:val="24"/>
        </w:rPr>
        <w:tab/>
      </w:r>
      <w:r>
        <w:rPr>
          <w:rFonts w:asciiTheme="minorHAnsi" w:hAnsiTheme="minorHAnsi" w:cstheme="minorHAnsi"/>
          <w:i/>
          <w:color w:val="2F2F33"/>
          <w:sz w:val="24"/>
          <w:szCs w:val="24"/>
        </w:rPr>
        <w:tab/>
      </w:r>
      <w:r>
        <w:rPr>
          <w:rFonts w:asciiTheme="minorHAnsi" w:hAnsiTheme="minorHAnsi" w:cstheme="minorHAnsi"/>
          <w:i/>
          <w:color w:val="2F2F33"/>
          <w:sz w:val="24"/>
          <w:szCs w:val="24"/>
        </w:rPr>
        <w:tab/>
      </w:r>
    </w:p>
    <w:p w:rsidR="00CC1185" w:rsidRDefault="00CC1185" w:rsidP="003D60DC">
      <w:pPr>
        <w:pStyle w:val="Titolo2"/>
        <w:spacing w:before="165" w:beforeAutospacing="0" w:after="165" w:afterAutospacing="0"/>
        <w:contextualSpacing/>
        <w:rPr>
          <w:rFonts w:asciiTheme="minorHAnsi" w:hAnsiTheme="minorHAnsi" w:cstheme="minorHAnsi"/>
          <w:i/>
          <w:color w:val="2F2F33"/>
          <w:sz w:val="24"/>
          <w:szCs w:val="24"/>
        </w:rPr>
      </w:pPr>
    </w:p>
    <w:p w:rsidR="00CC1185" w:rsidRDefault="00CC1185" w:rsidP="003D60DC">
      <w:pPr>
        <w:pStyle w:val="Titolo2"/>
        <w:spacing w:before="165" w:beforeAutospacing="0" w:after="165" w:afterAutospacing="0"/>
        <w:contextualSpacing/>
        <w:rPr>
          <w:rFonts w:asciiTheme="minorHAnsi" w:hAnsiTheme="minorHAnsi" w:cstheme="minorHAnsi"/>
          <w:i/>
          <w:color w:val="2F2F33"/>
          <w:sz w:val="24"/>
          <w:szCs w:val="24"/>
        </w:rPr>
      </w:pPr>
    </w:p>
    <w:p w:rsidR="00CC1185" w:rsidRDefault="00CC1185" w:rsidP="003D60DC">
      <w:pPr>
        <w:pStyle w:val="Titolo2"/>
        <w:spacing w:before="165" w:beforeAutospacing="0" w:after="165" w:afterAutospacing="0"/>
        <w:contextualSpacing/>
        <w:rPr>
          <w:rFonts w:asciiTheme="minorHAnsi" w:hAnsiTheme="minorHAnsi" w:cstheme="minorHAnsi"/>
          <w:i/>
          <w:color w:val="2F2F33"/>
          <w:sz w:val="24"/>
          <w:szCs w:val="24"/>
        </w:rPr>
      </w:pPr>
    </w:p>
    <w:p w:rsidR="00CC1185" w:rsidRDefault="00CC1185" w:rsidP="003D60DC">
      <w:pPr>
        <w:pStyle w:val="Titolo2"/>
        <w:spacing w:before="165" w:beforeAutospacing="0" w:after="165" w:afterAutospacing="0"/>
        <w:contextualSpacing/>
        <w:rPr>
          <w:rFonts w:asciiTheme="minorHAnsi" w:hAnsiTheme="minorHAnsi" w:cstheme="minorHAnsi"/>
          <w:i/>
          <w:color w:val="2F2F33"/>
          <w:sz w:val="24"/>
          <w:szCs w:val="24"/>
        </w:rPr>
      </w:pPr>
    </w:p>
    <w:p w:rsidR="00883156" w:rsidRDefault="00F35FCB" w:rsidP="003D60DC">
      <w:pPr>
        <w:pStyle w:val="Titolo2"/>
        <w:spacing w:before="165" w:beforeAutospacing="0" w:after="165" w:afterAutospacing="0"/>
        <w:contextualSpacing/>
        <w:rPr>
          <w:rFonts w:asciiTheme="minorHAnsi" w:hAnsiTheme="minorHAnsi" w:cstheme="minorHAnsi"/>
          <w:i/>
          <w:color w:val="2F2F33"/>
          <w:sz w:val="24"/>
          <w:szCs w:val="24"/>
        </w:rPr>
      </w:pPr>
      <w:r>
        <w:rPr>
          <w:rFonts w:asciiTheme="minorHAnsi" w:hAnsiTheme="minorHAnsi" w:cstheme="minorHAnsi"/>
          <w:i/>
          <w:color w:val="2F2F33"/>
          <w:sz w:val="24"/>
          <w:szCs w:val="24"/>
        </w:rPr>
        <w:t>__________________________________________________________________________</w:t>
      </w:r>
      <w:r w:rsidR="0041430A">
        <w:rPr>
          <w:rFonts w:asciiTheme="minorHAnsi" w:hAnsiTheme="minorHAnsi" w:cstheme="minorHAnsi"/>
          <w:i/>
          <w:color w:val="2F2F33"/>
          <w:sz w:val="24"/>
          <w:szCs w:val="24"/>
        </w:rPr>
        <w:t>______</w:t>
      </w:r>
    </w:p>
    <w:p w:rsidR="0041430A" w:rsidRDefault="0041430A" w:rsidP="003D60DC">
      <w:pPr>
        <w:pStyle w:val="Titolo2"/>
        <w:spacing w:before="165" w:beforeAutospacing="0" w:after="165" w:afterAutospacing="0"/>
        <w:contextualSpacing/>
        <w:rPr>
          <w:rFonts w:asciiTheme="minorHAnsi" w:hAnsiTheme="minorHAnsi" w:cstheme="minorHAnsi"/>
          <w:i/>
          <w:color w:val="2F2F33"/>
          <w:sz w:val="24"/>
          <w:szCs w:val="24"/>
        </w:rPr>
      </w:pPr>
      <w:r>
        <w:rPr>
          <w:rFonts w:asciiTheme="minorHAnsi" w:hAnsiTheme="minorHAnsi" w:cstheme="minorHAnsi"/>
          <w:i/>
          <w:color w:val="2F2F33"/>
          <w:sz w:val="24"/>
          <w:szCs w:val="24"/>
        </w:rPr>
        <w:t>Con l’occasione di questa pubblicazione, vogliamo cogliere l’occasione per estendere a tutti voi e ai vostri cari i nostri auguri per una Pasqua serena.</w:t>
      </w:r>
    </w:p>
    <w:p w:rsidR="0041430A" w:rsidRDefault="0041430A" w:rsidP="003D60DC">
      <w:pPr>
        <w:pStyle w:val="Titolo2"/>
        <w:spacing w:before="165" w:beforeAutospacing="0" w:after="165" w:afterAutospacing="0"/>
        <w:contextualSpacing/>
        <w:rPr>
          <w:rFonts w:asciiTheme="minorHAnsi" w:hAnsiTheme="minorHAnsi" w:cstheme="minorHAnsi"/>
          <w:i/>
          <w:color w:val="2F2F33"/>
          <w:sz w:val="24"/>
          <w:szCs w:val="24"/>
        </w:rPr>
      </w:pPr>
    </w:p>
    <w:p w:rsidR="00883156" w:rsidRDefault="0041430A" w:rsidP="003D60DC">
      <w:pPr>
        <w:pStyle w:val="Titolo2"/>
        <w:spacing w:before="165" w:beforeAutospacing="0" w:after="165" w:afterAutospacing="0"/>
        <w:contextualSpacing/>
        <w:rPr>
          <w:rFonts w:asciiTheme="minorHAnsi" w:hAnsiTheme="minorHAnsi" w:cstheme="minorHAnsi"/>
          <w:i/>
          <w:color w:val="2F2F33"/>
          <w:sz w:val="24"/>
          <w:szCs w:val="24"/>
        </w:rPr>
      </w:pPr>
      <w:r>
        <w:rPr>
          <w:rFonts w:asciiTheme="minorHAnsi" w:hAnsiTheme="minorHAnsi" w:cstheme="minorHAnsi"/>
          <w:i/>
          <w:color w:val="2F2F33"/>
          <w:sz w:val="24"/>
          <w:szCs w:val="24"/>
        </w:rPr>
        <w:t xml:space="preserve">Hanno collaborato alla redazione </w:t>
      </w:r>
      <w:r>
        <w:rPr>
          <w:rFonts w:asciiTheme="minorHAnsi" w:hAnsiTheme="minorHAnsi" w:cstheme="minorHAnsi"/>
          <w:i/>
          <w:color w:val="2F2F33"/>
          <w:sz w:val="24"/>
          <w:szCs w:val="24"/>
        </w:rPr>
        <w:t>di questo trimestre:</w:t>
      </w:r>
    </w:p>
    <w:p w:rsidR="0041430A" w:rsidRDefault="0041430A" w:rsidP="003D60DC">
      <w:pPr>
        <w:pStyle w:val="Titolo2"/>
        <w:spacing w:before="165" w:beforeAutospacing="0" w:after="165" w:afterAutospacing="0"/>
        <w:contextualSpacing/>
        <w:rPr>
          <w:rFonts w:asciiTheme="minorHAnsi" w:hAnsiTheme="minorHAnsi" w:cstheme="minorHAnsi"/>
          <w:i/>
          <w:color w:val="2F2F33"/>
          <w:sz w:val="24"/>
          <w:szCs w:val="24"/>
        </w:rPr>
      </w:pPr>
      <w:r>
        <w:rPr>
          <w:rFonts w:asciiTheme="minorHAnsi" w:hAnsiTheme="minorHAnsi" w:cstheme="minorHAnsi"/>
          <w:i/>
          <w:color w:val="2F2F33"/>
          <w:sz w:val="24"/>
          <w:szCs w:val="24"/>
        </w:rPr>
        <w:t>Sara Falivene</w:t>
      </w:r>
    </w:p>
    <w:p w:rsidR="0041430A" w:rsidRDefault="0041430A" w:rsidP="003D60DC">
      <w:pPr>
        <w:pStyle w:val="Titolo2"/>
        <w:spacing w:before="165" w:beforeAutospacing="0" w:after="165" w:afterAutospacing="0"/>
        <w:contextualSpacing/>
        <w:rPr>
          <w:rFonts w:asciiTheme="minorHAnsi" w:hAnsiTheme="minorHAnsi" w:cstheme="minorHAnsi"/>
          <w:i/>
          <w:color w:val="2F2F33"/>
          <w:sz w:val="24"/>
          <w:szCs w:val="24"/>
        </w:rPr>
      </w:pPr>
      <w:r>
        <w:rPr>
          <w:rFonts w:asciiTheme="minorHAnsi" w:hAnsiTheme="minorHAnsi" w:cstheme="minorHAnsi"/>
          <w:i/>
          <w:color w:val="2F2F33"/>
          <w:sz w:val="24"/>
          <w:szCs w:val="24"/>
        </w:rPr>
        <w:t>Fabiana Gregucci</w:t>
      </w:r>
    </w:p>
    <w:p w:rsidR="0041430A" w:rsidRDefault="0041430A" w:rsidP="003D60DC">
      <w:pPr>
        <w:pStyle w:val="Titolo2"/>
        <w:spacing w:before="165" w:beforeAutospacing="0" w:after="165" w:afterAutospacing="0"/>
        <w:contextualSpacing/>
        <w:rPr>
          <w:rFonts w:asciiTheme="minorHAnsi" w:hAnsiTheme="minorHAnsi" w:cstheme="minorHAnsi"/>
          <w:i/>
          <w:color w:val="2F2F33"/>
          <w:sz w:val="24"/>
          <w:szCs w:val="24"/>
        </w:rPr>
      </w:pPr>
      <w:r>
        <w:rPr>
          <w:rFonts w:asciiTheme="minorHAnsi" w:hAnsiTheme="minorHAnsi" w:cstheme="minorHAnsi"/>
          <w:i/>
          <w:color w:val="2F2F33"/>
          <w:sz w:val="24"/>
          <w:szCs w:val="24"/>
        </w:rPr>
        <w:t>Luca Marinelli</w:t>
      </w:r>
    </w:p>
    <w:p w:rsidR="0041430A" w:rsidRDefault="0041430A" w:rsidP="003D60DC">
      <w:pPr>
        <w:pStyle w:val="Titolo2"/>
        <w:spacing w:before="165" w:beforeAutospacing="0" w:after="165" w:afterAutospacing="0"/>
        <w:contextualSpacing/>
        <w:rPr>
          <w:rFonts w:asciiTheme="minorHAnsi" w:hAnsiTheme="minorHAnsi" w:cstheme="minorHAnsi"/>
          <w:i/>
          <w:color w:val="2F2F33"/>
          <w:sz w:val="24"/>
          <w:szCs w:val="24"/>
        </w:rPr>
      </w:pPr>
      <w:r>
        <w:rPr>
          <w:rFonts w:asciiTheme="minorHAnsi" w:hAnsiTheme="minorHAnsi" w:cstheme="minorHAnsi"/>
          <w:i/>
          <w:color w:val="2F2F33"/>
          <w:sz w:val="24"/>
          <w:szCs w:val="24"/>
        </w:rPr>
        <w:t>Chiara Reverberi</w:t>
      </w:r>
    </w:p>
    <w:p w:rsidR="0041430A" w:rsidRDefault="0041430A" w:rsidP="003D60DC">
      <w:pPr>
        <w:pStyle w:val="Titolo2"/>
        <w:spacing w:before="165" w:beforeAutospacing="0" w:after="165" w:afterAutospacing="0"/>
        <w:contextualSpacing/>
        <w:rPr>
          <w:rFonts w:asciiTheme="minorHAnsi" w:hAnsiTheme="minorHAnsi" w:cstheme="minorHAnsi"/>
          <w:i/>
          <w:color w:val="2F2F33"/>
          <w:sz w:val="24"/>
          <w:szCs w:val="24"/>
        </w:rPr>
      </w:pPr>
    </w:p>
    <w:p w:rsidR="0041430A" w:rsidRDefault="0041430A" w:rsidP="003D60DC">
      <w:pPr>
        <w:pStyle w:val="Titolo2"/>
        <w:spacing w:before="165" w:beforeAutospacing="0" w:after="165" w:afterAutospacing="0"/>
        <w:contextualSpacing/>
        <w:rPr>
          <w:rFonts w:asciiTheme="minorHAnsi" w:hAnsiTheme="minorHAnsi" w:cstheme="minorHAnsi"/>
          <w:i/>
          <w:color w:val="2F2F33"/>
          <w:sz w:val="24"/>
          <w:szCs w:val="24"/>
        </w:rPr>
      </w:pPr>
      <w:r>
        <w:rPr>
          <w:rFonts w:asciiTheme="minorHAnsi" w:hAnsiTheme="minorHAnsi" w:cstheme="minorHAnsi"/>
          <w:i/>
          <w:color w:val="2F2F33"/>
          <w:sz w:val="24"/>
          <w:szCs w:val="24"/>
        </w:rPr>
        <w:t>Buona lettura a tutti</w:t>
      </w:r>
    </w:p>
    <w:p w:rsidR="0041430A" w:rsidRDefault="0041430A" w:rsidP="003D60DC">
      <w:pPr>
        <w:pStyle w:val="Titolo2"/>
        <w:spacing w:before="165" w:beforeAutospacing="0" w:after="165" w:afterAutospacing="0"/>
        <w:contextualSpacing/>
        <w:rPr>
          <w:rFonts w:asciiTheme="minorHAnsi" w:hAnsiTheme="minorHAnsi" w:cstheme="minorHAnsi"/>
          <w:i/>
          <w:color w:val="2F2F33"/>
          <w:sz w:val="24"/>
          <w:szCs w:val="24"/>
        </w:rPr>
      </w:pPr>
      <w:r>
        <w:rPr>
          <w:rFonts w:asciiTheme="minorHAnsi" w:hAnsiTheme="minorHAnsi" w:cstheme="minorHAnsi"/>
          <w:i/>
          <w:color w:val="2F2F33"/>
          <w:sz w:val="24"/>
          <w:szCs w:val="24"/>
        </w:rPr>
        <w:t xml:space="preserve">Luigia </w:t>
      </w:r>
      <w:proofErr w:type="spellStart"/>
      <w:r>
        <w:rPr>
          <w:rFonts w:asciiTheme="minorHAnsi" w:hAnsiTheme="minorHAnsi" w:cstheme="minorHAnsi"/>
          <w:i/>
          <w:color w:val="2F2F33"/>
          <w:sz w:val="24"/>
          <w:szCs w:val="24"/>
        </w:rPr>
        <w:t>Nardone</w:t>
      </w:r>
      <w:proofErr w:type="spellEnd"/>
    </w:p>
    <w:p w:rsidR="0041430A" w:rsidRDefault="0041430A" w:rsidP="003D60DC">
      <w:pPr>
        <w:pStyle w:val="Titolo2"/>
        <w:spacing w:before="165" w:beforeAutospacing="0" w:after="165" w:afterAutospacing="0"/>
        <w:contextualSpacing/>
        <w:rPr>
          <w:rFonts w:asciiTheme="minorHAnsi" w:hAnsiTheme="minorHAnsi" w:cstheme="minorHAnsi"/>
          <w:i/>
          <w:color w:val="2F2F33"/>
          <w:sz w:val="24"/>
          <w:szCs w:val="24"/>
        </w:rPr>
      </w:pPr>
    </w:p>
    <w:p w:rsidR="0041430A" w:rsidRDefault="0041430A" w:rsidP="003D60DC">
      <w:pPr>
        <w:pStyle w:val="Titolo2"/>
        <w:spacing w:before="165" w:beforeAutospacing="0" w:after="165" w:afterAutospacing="0"/>
        <w:contextualSpacing/>
        <w:rPr>
          <w:rFonts w:asciiTheme="minorHAnsi" w:hAnsiTheme="minorHAnsi" w:cstheme="minorHAnsi"/>
          <w:i/>
          <w:color w:val="2F2F33"/>
          <w:sz w:val="24"/>
          <w:szCs w:val="24"/>
        </w:rPr>
      </w:pPr>
      <w:r>
        <w:rPr>
          <w:rFonts w:asciiTheme="minorHAnsi" w:hAnsiTheme="minorHAnsi" w:cstheme="minorHAnsi"/>
          <w:i/>
          <w:color w:val="2F2F33"/>
          <w:sz w:val="24"/>
          <w:szCs w:val="24"/>
        </w:rPr>
        <w:t>________________________________________________________________________________</w:t>
      </w:r>
    </w:p>
    <w:p w:rsidR="0041430A" w:rsidRDefault="0041430A" w:rsidP="003D60DC">
      <w:pPr>
        <w:pStyle w:val="Titolo2"/>
        <w:spacing w:before="165" w:beforeAutospacing="0" w:after="165" w:afterAutospacing="0"/>
        <w:contextualSpacing/>
        <w:rPr>
          <w:rFonts w:asciiTheme="minorHAnsi" w:hAnsiTheme="minorHAnsi" w:cstheme="minorHAnsi"/>
          <w:i/>
          <w:color w:val="2F2F33"/>
          <w:sz w:val="24"/>
          <w:szCs w:val="24"/>
        </w:rPr>
      </w:pPr>
    </w:p>
    <w:p w:rsidR="00F35FCB" w:rsidRDefault="0004400A" w:rsidP="0004400A">
      <w:pPr>
        <w:pStyle w:val="Titolo2"/>
        <w:spacing w:before="165" w:beforeAutospacing="0" w:after="165" w:afterAutospacing="0"/>
        <w:contextualSpacing/>
        <w:rPr>
          <w:rStyle w:val="CitazioneHTML"/>
          <w:rFonts w:asciiTheme="minorHAnsi" w:eastAsiaTheme="majorEastAsia" w:hAnsiTheme="minorHAnsi" w:cstheme="minorHAnsi"/>
          <w:b w:val="0"/>
          <w:color w:val="2F2F33"/>
          <w:sz w:val="24"/>
          <w:szCs w:val="24"/>
          <w:shd w:val="clear" w:color="auto" w:fill="FFFFFF"/>
        </w:rPr>
      </w:pPr>
      <w:proofErr w:type="spellStart"/>
      <w:r w:rsidRPr="00F35FCB">
        <w:rPr>
          <w:rFonts w:asciiTheme="minorHAnsi" w:hAnsiTheme="minorHAnsi" w:cstheme="minorHAnsi"/>
          <w:color w:val="2F2F33"/>
          <w:sz w:val="24"/>
          <w:szCs w:val="24"/>
        </w:rPr>
        <w:t>Primary</w:t>
      </w:r>
      <w:proofErr w:type="spellEnd"/>
      <w:r w:rsidRPr="00F35FCB">
        <w:rPr>
          <w:rFonts w:asciiTheme="minorHAnsi" w:hAnsiTheme="minorHAnsi" w:cstheme="minorHAnsi"/>
          <w:color w:val="2F2F33"/>
          <w:sz w:val="24"/>
          <w:szCs w:val="24"/>
        </w:rPr>
        <w:t xml:space="preserve"> </w:t>
      </w:r>
      <w:proofErr w:type="spellStart"/>
      <w:r w:rsidRPr="00F35FCB">
        <w:rPr>
          <w:rFonts w:asciiTheme="minorHAnsi" w:hAnsiTheme="minorHAnsi" w:cstheme="minorHAnsi"/>
          <w:color w:val="2F2F33"/>
          <w:sz w:val="24"/>
          <w:szCs w:val="24"/>
        </w:rPr>
        <w:t>Tumor</w:t>
      </w:r>
      <w:proofErr w:type="spellEnd"/>
      <w:r w:rsidRPr="00F35FCB">
        <w:rPr>
          <w:rFonts w:asciiTheme="minorHAnsi" w:hAnsiTheme="minorHAnsi" w:cstheme="minorHAnsi"/>
          <w:color w:val="2F2F33"/>
          <w:sz w:val="24"/>
          <w:szCs w:val="24"/>
        </w:rPr>
        <w:t xml:space="preserve"> </w:t>
      </w:r>
      <w:proofErr w:type="spellStart"/>
      <w:r w:rsidRPr="00F35FCB">
        <w:rPr>
          <w:rFonts w:asciiTheme="minorHAnsi" w:hAnsiTheme="minorHAnsi" w:cstheme="minorHAnsi"/>
          <w:color w:val="2F2F33"/>
          <w:sz w:val="24"/>
          <w:szCs w:val="24"/>
        </w:rPr>
        <w:t>Resection</w:t>
      </w:r>
      <w:proofErr w:type="spellEnd"/>
      <w:r w:rsidRPr="00F35FCB">
        <w:rPr>
          <w:rFonts w:asciiTheme="minorHAnsi" w:hAnsiTheme="minorHAnsi" w:cstheme="minorHAnsi"/>
          <w:color w:val="2F2F33"/>
          <w:sz w:val="24"/>
          <w:szCs w:val="24"/>
        </w:rPr>
        <w:t xml:space="preserve"> in </w:t>
      </w:r>
      <w:proofErr w:type="spellStart"/>
      <w:r w:rsidRPr="00F35FCB">
        <w:rPr>
          <w:rFonts w:asciiTheme="minorHAnsi" w:hAnsiTheme="minorHAnsi" w:cstheme="minorHAnsi"/>
          <w:color w:val="2F2F33"/>
          <w:sz w:val="24"/>
          <w:szCs w:val="24"/>
        </w:rPr>
        <w:t>Metastatic</w:t>
      </w:r>
      <w:proofErr w:type="spellEnd"/>
      <w:r w:rsidRPr="00F35FCB">
        <w:rPr>
          <w:rFonts w:asciiTheme="minorHAnsi" w:hAnsiTheme="minorHAnsi" w:cstheme="minorHAnsi"/>
          <w:color w:val="2F2F33"/>
          <w:sz w:val="24"/>
          <w:szCs w:val="24"/>
        </w:rPr>
        <w:t xml:space="preserve"> </w:t>
      </w:r>
      <w:proofErr w:type="spellStart"/>
      <w:r w:rsidRPr="00F35FCB">
        <w:rPr>
          <w:rFonts w:asciiTheme="minorHAnsi" w:hAnsiTheme="minorHAnsi" w:cstheme="minorHAnsi"/>
          <w:color w:val="2F2F33"/>
          <w:sz w:val="24"/>
          <w:szCs w:val="24"/>
        </w:rPr>
        <w:t>Breast</w:t>
      </w:r>
      <w:proofErr w:type="spellEnd"/>
      <w:r w:rsidRPr="00F35FCB">
        <w:rPr>
          <w:rFonts w:asciiTheme="minorHAnsi" w:hAnsiTheme="minorHAnsi" w:cstheme="minorHAnsi"/>
          <w:color w:val="2F2F33"/>
          <w:sz w:val="24"/>
          <w:szCs w:val="24"/>
        </w:rPr>
        <w:t xml:space="preserve"> </w:t>
      </w:r>
      <w:proofErr w:type="spellStart"/>
      <w:r w:rsidRPr="00F35FCB">
        <w:rPr>
          <w:rFonts w:asciiTheme="minorHAnsi" w:hAnsiTheme="minorHAnsi" w:cstheme="minorHAnsi"/>
          <w:color w:val="2F2F33"/>
          <w:sz w:val="24"/>
          <w:szCs w:val="24"/>
        </w:rPr>
        <w:t>Cancer</w:t>
      </w:r>
      <w:proofErr w:type="spellEnd"/>
      <w:r w:rsidRPr="00F35FCB">
        <w:rPr>
          <w:rFonts w:asciiTheme="minorHAnsi" w:hAnsiTheme="minorHAnsi" w:cstheme="minorHAnsi"/>
          <w:color w:val="2F2F33"/>
          <w:sz w:val="24"/>
          <w:szCs w:val="24"/>
        </w:rPr>
        <w:t xml:space="preserve">: A </w:t>
      </w:r>
      <w:proofErr w:type="spellStart"/>
      <w:r w:rsidRPr="00F35FCB">
        <w:rPr>
          <w:rFonts w:asciiTheme="minorHAnsi" w:hAnsiTheme="minorHAnsi" w:cstheme="minorHAnsi"/>
          <w:color w:val="2F2F33"/>
          <w:sz w:val="24"/>
          <w:szCs w:val="24"/>
        </w:rPr>
        <w:t>Propensity-Matched</w:t>
      </w:r>
      <w:proofErr w:type="spellEnd"/>
      <w:r w:rsidRPr="00F35FCB">
        <w:rPr>
          <w:rFonts w:asciiTheme="minorHAnsi" w:hAnsiTheme="minorHAnsi" w:cstheme="minorHAnsi"/>
          <w:color w:val="2F2F33"/>
          <w:sz w:val="24"/>
          <w:szCs w:val="24"/>
        </w:rPr>
        <w:t xml:space="preserve"> Analysis, 1988-2011 SEER Data Base</w:t>
      </w:r>
      <w:r w:rsidR="003D60DC" w:rsidRPr="00F35FCB">
        <w:rPr>
          <w:rFonts w:asciiTheme="minorHAnsi" w:hAnsiTheme="minorHAnsi" w:cstheme="minorHAnsi"/>
          <w:b w:val="0"/>
          <w:bCs w:val="0"/>
          <w:color w:val="2F2F33"/>
          <w:sz w:val="24"/>
          <w:szCs w:val="24"/>
        </w:rPr>
        <w:t xml:space="preserve">. </w:t>
      </w:r>
    </w:p>
    <w:p w:rsidR="00C869DB" w:rsidRDefault="003D60DC" w:rsidP="0004400A">
      <w:pPr>
        <w:pStyle w:val="Titolo2"/>
        <w:spacing w:before="165" w:beforeAutospacing="0" w:after="165" w:afterAutospacing="0"/>
        <w:contextualSpacing/>
        <w:rPr>
          <w:rFonts w:asciiTheme="minorHAnsi" w:hAnsiTheme="minorHAnsi" w:cstheme="minorHAnsi"/>
          <w:b w:val="0"/>
          <w:color w:val="2F2F33"/>
          <w:sz w:val="24"/>
          <w:szCs w:val="24"/>
          <w:shd w:val="clear" w:color="auto" w:fill="FFFFFF"/>
        </w:rPr>
      </w:pPr>
      <w:r w:rsidRPr="00F35FCB">
        <w:rPr>
          <w:rStyle w:val="CitazioneHTML"/>
          <w:rFonts w:asciiTheme="minorHAnsi" w:eastAsiaTheme="majorEastAsia" w:hAnsiTheme="minorHAnsi" w:cstheme="minorHAnsi"/>
          <w:b w:val="0"/>
          <w:color w:val="2F2F33"/>
          <w:sz w:val="24"/>
          <w:szCs w:val="24"/>
          <w:shd w:val="clear" w:color="auto" w:fill="FFFFFF"/>
        </w:rPr>
        <w:t xml:space="preserve">NA </w:t>
      </w:r>
      <w:proofErr w:type="spellStart"/>
      <w:r w:rsidRPr="00F35FCB">
        <w:rPr>
          <w:rStyle w:val="CitazioneHTML"/>
          <w:rFonts w:asciiTheme="minorHAnsi" w:eastAsiaTheme="majorEastAsia" w:hAnsiTheme="minorHAnsi" w:cstheme="minorHAnsi"/>
          <w:b w:val="0"/>
          <w:color w:val="2F2F33"/>
          <w:sz w:val="24"/>
          <w:szCs w:val="24"/>
          <w:shd w:val="clear" w:color="auto" w:fill="FFFFFF"/>
        </w:rPr>
        <w:t>Vohra</w:t>
      </w:r>
      <w:proofErr w:type="spellEnd"/>
      <w:r w:rsidRPr="00F35FCB">
        <w:rPr>
          <w:rStyle w:val="CitazioneHTML"/>
          <w:rFonts w:asciiTheme="minorHAnsi" w:eastAsiaTheme="majorEastAsia" w:hAnsiTheme="minorHAnsi" w:cstheme="minorHAnsi"/>
          <w:b w:val="0"/>
          <w:color w:val="2F2F33"/>
          <w:sz w:val="24"/>
          <w:szCs w:val="24"/>
          <w:shd w:val="clear" w:color="auto" w:fill="FFFFFF"/>
        </w:rPr>
        <w:t xml:space="preserve">, J </w:t>
      </w:r>
      <w:proofErr w:type="spellStart"/>
      <w:r w:rsidRPr="00F35FCB">
        <w:rPr>
          <w:rStyle w:val="CitazioneHTML"/>
          <w:rFonts w:asciiTheme="minorHAnsi" w:eastAsiaTheme="majorEastAsia" w:hAnsiTheme="minorHAnsi" w:cstheme="minorHAnsi"/>
          <w:b w:val="0"/>
          <w:color w:val="2F2F33"/>
          <w:sz w:val="24"/>
          <w:szCs w:val="24"/>
          <w:shd w:val="clear" w:color="auto" w:fill="FFFFFF"/>
        </w:rPr>
        <w:t>Brinkley</w:t>
      </w:r>
      <w:proofErr w:type="spellEnd"/>
      <w:r w:rsidRPr="00F35FCB">
        <w:rPr>
          <w:rStyle w:val="CitazioneHTML"/>
          <w:rFonts w:asciiTheme="minorHAnsi" w:eastAsiaTheme="majorEastAsia" w:hAnsiTheme="minorHAnsi" w:cstheme="minorHAnsi"/>
          <w:b w:val="0"/>
          <w:color w:val="2F2F33"/>
          <w:sz w:val="24"/>
          <w:szCs w:val="24"/>
          <w:shd w:val="clear" w:color="auto" w:fill="FFFFFF"/>
        </w:rPr>
        <w:t xml:space="preserve">, S </w:t>
      </w:r>
      <w:proofErr w:type="spellStart"/>
      <w:r w:rsidRPr="00F35FCB">
        <w:rPr>
          <w:rStyle w:val="CitazioneHTML"/>
          <w:rFonts w:asciiTheme="minorHAnsi" w:eastAsiaTheme="majorEastAsia" w:hAnsiTheme="minorHAnsi" w:cstheme="minorHAnsi"/>
          <w:b w:val="0"/>
          <w:color w:val="2F2F33"/>
          <w:sz w:val="24"/>
          <w:szCs w:val="24"/>
          <w:shd w:val="clear" w:color="auto" w:fill="FFFFFF"/>
        </w:rPr>
        <w:t>Kachare</w:t>
      </w:r>
      <w:proofErr w:type="spellEnd"/>
      <w:r w:rsidRPr="00F35FCB">
        <w:rPr>
          <w:rStyle w:val="CitazioneHTML"/>
          <w:rFonts w:asciiTheme="minorHAnsi" w:eastAsiaTheme="majorEastAsia" w:hAnsiTheme="minorHAnsi" w:cstheme="minorHAnsi"/>
          <w:b w:val="0"/>
          <w:color w:val="2F2F33"/>
          <w:sz w:val="24"/>
          <w:szCs w:val="24"/>
          <w:shd w:val="clear" w:color="auto" w:fill="FFFFFF"/>
        </w:rPr>
        <w:t xml:space="preserve">, M </w:t>
      </w:r>
      <w:proofErr w:type="spellStart"/>
      <w:r w:rsidRPr="00F35FCB">
        <w:rPr>
          <w:rStyle w:val="CitazioneHTML"/>
          <w:rFonts w:asciiTheme="minorHAnsi" w:eastAsiaTheme="majorEastAsia" w:hAnsiTheme="minorHAnsi" w:cstheme="minorHAnsi"/>
          <w:b w:val="0"/>
          <w:color w:val="2F2F33"/>
          <w:sz w:val="24"/>
          <w:szCs w:val="24"/>
          <w:shd w:val="clear" w:color="auto" w:fill="FFFFFF"/>
        </w:rPr>
        <w:t>Muzaffar</w:t>
      </w:r>
      <w:proofErr w:type="spellEnd"/>
      <w:r w:rsidRPr="00F35FCB">
        <w:rPr>
          <w:rFonts w:asciiTheme="minorHAnsi" w:hAnsiTheme="minorHAnsi" w:cstheme="minorHAnsi"/>
          <w:b w:val="0"/>
          <w:color w:val="2F2F33"/>
          <w:sz w:val="24"/>
          <w:szCs w:val="24"/>
          <w:shd w:val="clear" w:color="auto" w:fill="FFFFFF"/>
        </w:rPr>
        <w:t xml:space="preserve">. </w:t>
      </w:r>
    </w:p>
    <w:p w:rsidR="007F6211" w:rsidRPr="00F35FCB" w:rsidRDefault="0004400A" w:rsidP="0004400A">
      <w:pPr>
        <w:pStyle w:val="Titolo2"/>
        <w:spacing w:before="165" w:beforeAutospacing="0" w:after="165" w:afterAutospacing="0"/>
        <w:contextualSpacing/>
        <w:rPr>
          <w:rFonts w:ascii="Helvetica" w:hAnsi="Helvetica" w:cs="Helvetica"/>
          <w:b w:val="0"/>
          <w:bCs w:val="0"/>
          <w:i/>
          <w:color w:val="31708F"/>
          <w:sz w:val="30"/>
          <w:szCs w:val="30"/>
        </w:rPr>
      </w:pPr>
      <w:proofErr w:type="spellStart"/>
      <w:r w:rsidRPr="00F35FCB">
        <w:rPr>
          <w:rStyle w:val="CitazioneHTML"/>
          <w:rFonts w:asciiTheme="minorHAnsi" w:eastAsiaTheme="majorEastAsia" w:hAnsiTheme="minorHAnsi" w:cstheme="minorHAnsi"/>
          <w:i w:val="0"/>
          <w:color w:val="2F2F33"/>
          <w:sz w:val="24"/>
          <w:szCs w:val="24"/>
          <w:shd w:val="clear" w:color="auto" w:fill="FFFFFF"/>
        </w:rPr>
        <w:t>Breast</w:t>
      </w:r>
      <w:proofErr w:type="spellEnd"/>
      <w:r w:rsidRPr="00F35FCB">
        <w:rPr>
          <w:rStyle w:val="CitazioneHTML"/>
          <w:rFonts w:asciiTheme="minorHAnsi" w:eastAsiaTheme="majorEastAsia" w:hAnsiTheme="minorHAnsi" w:cstheme="minorHAnsi"/>
          <w:i w:val="0"/>
          <w:color w:val="2F2F33"/>
          <w:sz w:val="24"/>
          <w:szCs w:val="24"/>
          <w:shd w:val="clear" w:color="auto" w:fill="FFFFFF"/>
        </w:rPr>
        <w:t xml:space="preserve"> J 201</w:t>
      </w:r>
      <w:r w:rsidR="003D60DC" w:rsidRPr="00F35FCB">
        <w:rPr>
          <w:rStyle w:val="CitazioneHTML"/>
          <w:rFonts w:asciiTheme="minorHAnsi" w:eastAsiaTheme="majorEastAsia" w:hAnsiTheme="minorHAnsi" w:cstheme="minorHAnsi"/>
          <w:i w:val="0"/>
          <w:color w:val="2F2F33"/>
          <w:sz w:val="24"/>
          <w:szCs w:val="24"/>
          <w:shd w:val="clear" w:color="auto" w:fill="FFFFFF"/>
        </w:rPr>
        <w:t>8 Mar 02</w:t>
      </w:r>
      <w:r w:rsidR="003D60DC" w:rsidRPr="00F35FCB">
        <w:rPr>
          <w:rStyle w:val="CitazioneHTML"/>
          <w:rFonts w:asciiTheme="minorHAnsi" w:eastAsiaTheme="majorEastAsia" w:hAnsiTheme="minorHAnsi" w:cstheme="minorHAnsi"/>
          <w:b w:val="0"/>
          <w:i w:val="0"/>
          <w:color w:val="2F2F33"/>
          <w:sz w:val="24"/>
          <w:szCs w:val="24"/>
          <w:shd w:val="clear" w:color="auto" w:fill="FFFFFF"/>
        </w:rPr>
        <w:t>;[</w:t>
      </w:r>
      <w:proofErr w:type="spellStart"/>
      <w:r w:rsidR="003D60DC" w:rsidRPr="00F35FCB">
        <w:rPr>
          <w:rStyle w:val="CitazioneHTML"/>
          <w:rFonts w:asciiTheme="minorHAnsi" w:eastAsiaTheme="majorEastAsia" w:hAnsiTheme="minorHAnsi" w:cstheme="minorHAnsi"/>
          <w:b w:val="0"/>
          <w:i w:val="0"/>
          <w:color w:val="2F2F33"/>
          <w:sz w:val="24"/>
          <w:szCs w:val="24"/>
          <w:shd w:val="clear" w:color="auto" w:fill="FFFFFF"/>
        </w:rPr>
        <w:t>EPub</w:t>
      </w:r>
      <w:proofErr w:type="spellEnd"/>
      <w:r w:rsidR="003D60DC" w:rsidRPr="00F35FCB">
        <w:rPr>
          <w:rStyle w:val="CitazioneHTML"/>
          <w:rFonts w:asciiTheme="minorHAnsi" w:eastAsiaTheme="majorEastAsia" w:hAnsiTheme="minorHAnsi" w:cstheme="minorHAnsi"/>
          <w:b w:val="0"/>
          <w:i w:val="0"/>
          <w:color w:val="2F2F33"/>
          <w:sz w:val="24"/>
          <w:szCs w:val="24"/>
          <w:shd w:val="clear" w:color="auto" w:fill="FFFFFF"/>
        </w:rPr>
        <w:t xml:space="preserve"> </w:t>
      </w:r>
      <w:proofErr w:type="spellStart"/>
      <w:r w:rsidR="003D60DC" w:rsidRPr="00F35FCB">
        <w:rPr>
          <w:rStyle w:val="CitazioneHTML"/>
          <w:rFonts w:asciiTheme="minorHAnsi" w:eastAsiaTheme="majorEastAsia" w:hAnsiTheme="minorHAnsi" w:cstheme="minorHAnsi"/>
          <w:b w:val="0"/>
          <w:i w:val="0"/>
          <w:color w:val="2F2F33"/>
          <w:sz w:val="24"/>
          <w:szCs w:val="24"/>
          <w:shd w:val="clear" w:color="auto" w:fill="FFFFFF"/>
        </w:rPr>
        <w:t>Ahead</w:t>
      </w:r>
      <w:proofErr w:type="spellEnd"/>
      <w:r w:rsidR="003D60DC" w:rsidRPr="00F35FCB">
        <w:rPr>
          <w:rStyle w:val="CitazioneHTML"/>
          <w:rFonts w:asciiTheme="minorHAnsi" w:eastAsiaTheme="majorEastAsia" w:hAnsiTheme="minorHAnsi" w:cstheme="minorHAnsi"/>
          <w:b w:val="0"/>
          <w:i w:val="0"/>
          <w:color w:val="2F2F33"/>
          <w:sz w:val="24"/>
          <w:szCs w:val="24"/>
          <w:shd w:val="clear" w:color="auto" w:fill="FFFFFF"/>
        </w:rPr>
        <w:t xml:space="preserve"> of </w:t>
      </w:r>
      <w:proofErr w:type="spellStart"/>
      <w:r w:rsidR="003D60DC" w:rsidRPr="00F35FCB">
        <w:rPr>
          <w:rStyle w:val="CitazioneHTML"/>
          <w:rFonts w:asciiTheme="minorHAnsi" w:eastAsiaTheme="majorEastAsia" w:hAnsiTheme="minorHAnsi" w:cstheme="minorHAnsi"/>
          <w:b w:val="0"/>
          <w:i w:val="0"/>
          <w:color w:val="2F2F33"/>
          <w:sz w:val="24"/>
          <w:szCs w:val="24"/>
          <w:shd w:val="clear" w:color="auto" w:fill="FFFFFF"/>
        </w:rPr>
        <w:t>Print</w:t>
      </w:r>
      <w:proofErr w:type="spellEnd"/>
      <w:r w:rsidR="003D60DC" w:rsidRPr="00F35FCB">
        <w:rPr>
          <w:rStyle w:val="CitazioneHTML"/>
          <w:rFonts w:asciiTheme="minorHAnsi" w:eastAsiaTheme="majorEastAsia" w:hAnsiTheme="minorHAnsi" w:cstheme="minorHAnsi"/>
          <w:b w:val="0"/>
          <w:i w:val="0"/>
          <w:color w:val="2F2F33"/>
          <w:sz w:val="24"/>
          <w:szCs w:val="24"/>
          <w:shd w:val="clear" w:color="auto" w:fill="FFFFFF"/>
        </w:rPr>
        <w:t>]</w:t>
      </w:r>
    </w:p>
    <w:p w:rsidR="007F6211" w:rsidRDefault="007F6211" w:rsidP="007F6211">
      <w:pPr>
        <w:shd w:val="clear" w:color="auto" w:fill="FFFFFF"/>
        <w:spacing w:after="0" w:line="240" w:lineRule="auto"/>
        <w:jc w:val="both"/>
        <w:rPr>
          <w:rFonts w:ascii="Helvetica" w:hAnsi="Helvetica" w:cs="Helvetica"/>
          <w:b/>
          <w:bCs/>
          <w:color w:val="31708F"/>
          <w:sz w:val="30"/>
          <w:szCs w:val="30"/>
        </w:rPr>
      </w:pPr>
      <w:r w:rsidRPr="00414E4B">
        <w:rPr>
          <w:rFonts w:eastAsia="Times New Roman" w:cs="Arial"/>
          <w:b/>
        </w:rPr>
        <w:t>Obiettivo educazionale</w:t>
      </w:r>
    </w:p>
    <w:p w:rsidR="00E96982" w:rsidRDefault="003D60DC" w:rsidP="00F35FCB">
      <w:pPr>
        <w:spacing w:line="240" w:lineRule="auto"/>
        <w:contextualSpacing/>
      </w:pPr>
      <w:r>
        <w:t>La frequenza dell’intervento di resezione del tumore primitivo</w:t>
      </w:r>
      <w:r w:rsidR="00E96982">
        <w:t xml:space="preserve"> (PTR)</w:t>
      </w:r>
      <w:r w:rsidRPr="003D60DC">
        <w:t xml:space="preserve"> </w:t>
      </w:r>
      <w:r w:rsidR="00E96982">
        <w:t>i</w:t>
      </w:r>
      <w:r>
        <w:t>n pazienti con carcinoma mammario metastatico è progressivamente diminuita nel tempo</w:t>
      </w:r>
      <w:r w:rsidR="00E96982">
        <w:t xml:space="preserve"> poiché non è una modalità di trattamento considerata standard e il suo impatto sulla sopravvivenza è contrastante. </w:t>
      </w:r>
    </w:p>
    <w:p w:rsidR="00E96982" w:rsidRDefault="0004400A" w:rsidP="00F35FCB">
      <w:pPr>
        <w:spacing w:line="240" w:lineRule="auto"/>
        <w:contextualSpacing/>
      </w:pPr>
      <w:r>
        <w:t>Questa analisi retrospettiva del database SEER è stata intrapres</w:t>
      </w:r>
      <w:r w:rsidR="003D60DC">
        <w:t>a per valutare i risultati tra queste pazienti. Infatti tra le quasi 30.000 pazienti analizzate</w:t>
      </w:r>
      <w:r>
        <w:t xml:space="preserve"> tra il 1988 e il 2011,</w:t>
      </w:r>
      <w:r w:rsidR="003D60DC">
        <w:t xml:space="preserve"> solo</w:t>
      </w:r>
      <w:r>
        <w:t xml:space="preserve"> il 50% è stato sottoposto a resezione del tumore primario</w:t>
      </w:r>
      <w:r w:rsidR="003D60DC">
        <w:t xml:space="preserve"> nonostante i dati di letteratura, seppure tutti retrospettivi, dimostrino che l</w:t>
      </w:r>
      <w:r>
        <w:t>a resez</w:t>
      </w:r>
      <w:r w:rsidR="003D60DC">
        <w:t>ione del tumore primario è</w:t>
      </w:r>
      <w:r>
        <w:t xml:space="preserve"> associata a una sopravvivenza gen</w:t>
      </w:r>
      <w:r w:rsidR="00092EA1">
        <w:t>erale mediana migliorata</w:t>
      </w:r>
      <w:r>
        <w:t>.</w:t>
      </w:r>
      <w:r w:rsidR="00E96982">
        <w:t xml:space="preserve"> </w:t>
      </w:r>
    </w:p>
    <w:p w:rsidR="00092EA1" w:rsidRDefault="0004400A" w:rsidP="00F35FCB">
      <w:pPr>
        <w:spacing w:line="240" w:lineRule="auto"/>
        <w:contextualSpacing/>
      </w:pPr>
      <w:r>
        <w:t>L'obiettivo principale di questo studio era di analizzare l'impatto della PTR sulla sopravvivenza in pazienti metastatici con carcinoma mammario.</w:t>
      </w:r>
    </w:p>
    <w:p w:rsidR="00F35FCB" w:rsidRDefault="00F35FCB" w:rsidP="00F35FCB">
      <w:pPr>
        <w:spacing w:line="240" w:lineRule="auto"/>
        <w:contextualSpacing/>
      </w:pPr>
    </w:p>
    <w:p w:rsidR="007F6211" w:rsidRDefault="007F6211" w:rsidP="00F35FCB">
      <w:pPr>
        <w:shd w:val="clear" w:color="auto" w:fill="FFFFFF"/>
        <w:spacing w:after="0" w:line="240" w:lineRule="auto"/>
        <w:contextualSpacing/>
        <w:jc w:val="both"/>
      </w:pPr>
      <w:r w:rsidRPr="00EA123E">
        <w:rPr>
          <w:rFonts w:eastAsia="Times New Roman" w:cs="Arial"/>
          <w:b/>
        </w:rPr>
        <w:lastRenderedPageBreak/>
        <w:t>Principali risultati</w:t>
      </w:r>
    </w:p>
    <w:p w:rsidR="00BE1217" w:rsidRDefault="0004400A" w:rsidP="00F35FCB">
      <w:pPr>
        <w:spacing w:line="240" w:lineRule="auto"/>
        <w:contextualSpacing/>
      </w:pPr>
      <w:r>
        <w:t>Uno studio retrospettivo su pazienti</w:t>
      </w:r>
      <w:r w:rsidR="00092EA1">
        <w:t xml:space="preserve"> 29 916 </w:t>
      </w:r>
      <w:r>
        <w:t>metastatici con carcinoma mammario</w:t>
      </w:r>
      <w:r w:rsidR="00092EA1">
        <w:t xml:space="preserve"> è stato condotto utilizzando</w:t>
      </w:r>
      <w:r>
        <w:t xml:space="preserve"> </w:t>
      </w:r>
      <w:r w:rsidR="00092EA1">
        <w:t xml:space="preserve">i </w:t>
      </w:r>
      <w:r>
        <w:t xml:space="preserve">dati </w:t>
      </w:r>
      <w:proofErr w:type="spellStart"/>
      <w:r>
        <w:t>Surveillance</w:t>
      </w:r>
      <w:proofErr w:type="spellEnd"/>
      <w:r>
        <w:t xml:space="preserve">, </w:t>
      </w:r>
      <w:proofErr w:type="spellStart"/>
      <w:r>
        <w:t>Epidemiology</w:t>
      </w:r>
      <w:proofErr w:type="spellEnd"/>
      <w:r>
        <w:t xml:space="preserve"> and End </w:t>
      </w:r>
      <w:proofErr w:type="spellStart"/>
      <w:r>
        <w:t>Results</w:t>
      </w:r>
      <w:proofErr w:type="spellEnd"/>
      <w:r>
        <w:t xml:space="preserve"> (SEER)</w:t>
      </w:r>
      <w:r w:rsidR="00092EA1">
        <w:t xml:space="preserve">dal 1988 al </w:t>
      </w:r>
      <w:r>
        <w:t>2011</w:t>
      </w:r>
      <w:r w:rsidR="00092EA1">
        <w:t xml:space="preserve">  dei quali il 51% (</w:t>
      </w:r>
      <w:r>
        <w:t>15</w:t>
      </w:r>
      <w:r w:rsidR="00092EA1">
        <w:t>.</w:t>
      </w:r>
      <w:r>
        <w:t>129</w:t>
      </w:r>
      <w:r w:rsidR="00092EA1">
        <w:t>)</w:t>
      </w:r>
      <w:r>
        <w:t xml:space="preserve"> </w:t>
      </w:r>
      <w:r w:rsidR="00092EA1">
        <w:t>sono state sottoposte</w:t>
      </w:r>
      <w:r>
        <w:t xml:space="preserve"> a resezione del tumore primario e </w:t>
      </w:r>
      <w:r w:rsidR="00092EA1">
        <w:t xml:space="preserve">il 49% (14.787) non sono state sottoposte </w:t>
      </w:r>
      <w:r>
        <w:t>a intervento chirurgico</w:t>
      </w:r>
      <w:r w:rsidR="00092EA1">
        <w:t xml:space="preserve"> </w:t>
      </w:r>
      <w:r>
        <w:t xml:space="preserve">. </w:t>
      </w:r>
    </w:p>
    <w:p w:rsidR="00BE1217" w:rsidRDefault="009266E3" w:rsidP="00F35FCB">
      <w:pPr>
        <w:spacing w:line="240" w:lineRule="auto"/>
        <w:contextualSpacing/>
      </w:pPr>
      <w:r>
        <w:t xml:space="preserve">Le pazienti con </w:t>
      </w:r>
      <w:proofErr w:type="spellStart"/>
      <w:r>
        <w:t>oligometastasi</w:t>
      </w:r>
      <w:proofErr w:type="spellEnd"/>
      <w:r>
        <w:t xml:space="preserve"> e o con malattia stabile da lungo tempo sono le migliori candidate per essere sottoposte alla resezione. </w:t>
      </w:r>
      <w:r w:rsidR="00BE1217">
        <w:t xml:space="preserve">Le pazienti più giovani, di razza non afro-americana con T e N di minori dimensioni, recettori positivi, con basso </w:t>
      </w:r>
      <w:proofErr w:type="spellStart"/>
      <w:r w:rsidR="00BE1217">
        <w:t>grading</w:t>
      </w:r>
      <w:proofErr w:type="spellEnd"/>
      <w:r w:rsidR="00BE1217">
        <w:t xml:space="preserve"> e sottoposte anche a radioterapia hanno la migliore sopravvivenza t</w:t>
      </w:r>
      <w:r w:rsidR="00092EA1">
        <w:t>umore specifica (DSS) laddove a</w:t>
      </w:r>
      <w:r w:rsidR="00BE1217">
        <w:t>l contrario pazienti con età più avanzata, Te N</w:t>
      </w:r>
      <w:r w:rsidR="00092EA1">
        <w:t xml:space="preserve"> più estesi, </w:t>
      </w:r>
      <w:r>
        <w:t>se</w:t>
      </w:r>
      <w:r w:rsidR="00092EA1">
        <w:t>nza recettori,</w:t>
      </w:r>
      <w:r w:rsidR="00EC0098">
        <w:t xml:space="preserve"> con </w:t>
      </w:r>
      <w:proofErr w:type="spellStart"/>
      <w:r w:rsidR="00EC0098">
        <w:t>grading</w:t>
      </w:r>
      <w:proofErr w:type="spellEnd"/>
      <w:r w:rsidR="00EC0098">
        <w:t xml:space="preserve"> elevato e senza radioterapia hanno una mortalità più elevata (P&lt; 0.0001) Il non essere sottoposte a chirurgia è un fattore associato indipendentemente ad una maggiore mortalità (P&lt; 0.0001)</w:t>
      </w:r>
    </w:p>
    <w:p w:rsidR="009864CB" w:rsidRDefault="0004400A" w:rsidP="00F35FCB">
      <w:pPr>
        <w:spacing w:after="120" w:line="240" w:lineRule="auto"/>
        <w:contextualSpacing/>
        <w:jc w:val="both"/>
        <w:rPr>
          <w:rFonts w:eastAsia="Times New Roman" w:cstheme="minorHAnsi"/>
          <w:color w:val="777777"/>
          <w:lang w:eastAsia="it-IT"/>
        </w:rPr>
      </w:pPr>
      <w:r>
        <w:t xml:space="preserve">La resezione del tumore primitivo nel carcinoma mammario metastatico è stata associata al miglioramento della sopravvivenza </w:t>
      </w:r>
      <w:r w:rsidR="00092EA1">
        <w:t>(34 vs 18 mesi)</w:t>
      </w:r>
      <w:r w:rsidR="00092EA1" w:rsidRPr="00EC0098">
        <w:rPr>
          <w:rFonts w:ascii="Arial" w:eastAsia="Times New Roman" w:hAnsi="Arial" w:cs="Arial"/>
          <w:color w:val="777777"/>
          <w:sz w:val="20"/>
          <w:szCs w:val="20"/>
          <w:lang w:eastAsia="it-IT"/>
        </w:rPr>
        <w:t xml:space="preserve"> </w:t>
      </w:r>
      <w:r w:rsidR="00092EA1" w:rsidRPr="00092EA1">
        <w:rPr>
          <w:rFonts w:eastAsia="Times New Roman" w:cstheme="minorHAnsi"/>
          <w:color w:val="777777"/>
          <w:lang w:eastAsia="it-IT"/>
        </w:rPr>
        <w:t xml:space="preserve">.  </w:t>
      </w:r>
    </w:p>
    <w:p w:rsidR="00F35FCB" w:rsidRDefault="00F35FCB" w:rsidP="00F35FCB">
      <w:pPr>
        <w:spacing w:after="120" w:line="240" w:lineRule="auto"/>
        <w:contextualSpacing/>
        <w:jc w:val="both"/>
        <w:rPr>
          <w:rFonts w:eastAsia="Times New Roman" w:cstheme="minorHAnsi"/>
          <w:color w:val="777777"/>
          <w:lang w:eastAsia="it-IT"/>
        </w:rPr>
      </w:pPr>
    </w:p>
    <w:p w:rsidR="007F6211" w:rsidRDefault="007F6211" w:rsidP="00F35FCB">
      <w:pPr>
        <w:shd w:val="clear" w:color="auto" w:fill="FFFFFF"/>
        <w:spacing w:after="0" w:line="240" w:lineRule="auto"/>
        <w:contextualSpacing/>
        <w:jc w:val="both"/>
        <w:rPr>
          <w:rFonts w:eastAsia="Times New Roman" w:cstheme="minorHAnsi"/>
          <w:color w:val="777777"/>
          <w:lang w:eastAsia="it-IT"/>
        </w:rPr>
      </w:pPr>
      <w:r w:rsidRPr="00EA123E">
        <w:rPr>
          <w:rFonts w:eastAsia="Times New Roman" w:cs="Arial"/>
          <w:b/>
        </w:rPr>
        <w:t>Interpretazione e prospettive</w:t>
      </w:r>
      <w:r w:rsidR="00F35FCB">
        <w:rPr>
          <w:rFonts w:eastAsia="Times New Roman" w:cs="Arial"/>
          <w:b/>
        </w:rPr>
        <w:t xml:space="preserve">  </w:t>
      </w:r>
    </w:p>
    <w:p w:rsidR="009864CB" w:rsidRDefault="009864CB" w:rsidP="00F35FCB">
      <w:pPr>
        <w:spacing w:after="120" w:line="240" w:lineRule="auto"/>
        <w:contextualSpacing/>
        <w:jc w:val="both"/>
        <w:rPr>
          <w:rFonts w:eastAsia="Times New Roman" w:cstheme="minorHAnsi"/>
          <w:color w:val="222222"/>
          <w:lang w:eastAsia="it-IT"/>
        </w:rPr>
      </w:pPr>
      <w:r w:rsidRPr="009864CB">
        <w:rPr>
          <w:rFonts w:eastAsia="Times New Roman" w:cstheme="minorHAnsi"/>
          <w:lang w:eastAsia="it-IT"/>
        </w:rPr>
        <w:t xml:space="preserve">Fra i sostenitori degli aspetti favorevoli della chirurgia </w:t>
      </w:r>
      <w:r>
        <w:rPr>
          <w:rFonts w:eastAsia="Times New Roman" w:cstheme="minorHAnsi"/>
          <w:lang w:eastAsia="it-IT"/>
        </w:rPr>
        <w:t>si ritiene che l</w:t>
      </w:r>
      <w:r w:rsidR="00092EA1" w:rsidRPr="009864CB">
        <w:rPr>
          <w:rFonts w:eastAsia="Times New Roman" w:cstheme="minorHAnsi"/>
          <w:lang w:eastAsia="it-IT"/>
        </w:rPr>
        <w:t>a giustificazione per PTR si</w:t>
      </w:r>
      <w:r>
        <w:rPr>
          <w:rFonts w:eastAsia="Times New Roman" w:cstheme="minorHAnsi"/>
          <w:lang w:eastAsia="it-IT"/>
        </w:rPr>
        <w:t>a</w:t>
      </w:r>
      <w:r w:rsidR="00092EA1" w:rsidRPr="009864CB">
        <w:rPr>
          <w:rFonts w:eastAsia="Times New Roman" w:cstheme="minorHAnsi"/>
          <w:lang w:eastAsia="it-IT"/>
        </w:rPr>
        <w:t xml:space="preserve"> basa</w:t>
      </w:r>
      <w:r>
        <w:rPr>
          <w:rFonts w:eastAsia="Times New Roman" w:cstheme="minorHAnsi"/>
          <w:lang w:eastAsia="it-IT"/>
        </w:rPr>
        <w:t>ta</w:t>
      </w:r>
      <w:r w:rsidR="00092EA1" w:rsidRPr="009864CB">
        <w:rPr>
          <w:rFonts w:eastAsia="Times New Roman" w:cstheme="minorHAnsi"/>
          <w:lang w:eastAsia="it-IT"/>
        </w:rPr>
        <w:t xml:space="preserve"> sulla logica biologica di ridotta diffusione metastatica </w:t>
      </w:r>
      <w:r>
        <w:rPr>
          <w:rFonts w:eastAsia="Times New Roman" w:cstheme="minorHAnsi"/>
          <w:lang w:eastAsia="it-IT"/>
        </w:rPr>
        <w:t xml:space="preserve">legata al </w:t>
      </w:r>
      <w:r w:rsidR="00092EA1" w:rsidRPr="009864CB">
        <w:rPr>
          <w:rFonts w:eastAsia="Times New Roman" w:cstheme="minorHAnsi"/>
          <w:lang w:eastAsia="it-IT"/>
        </w:rPr>
        <w:t>diminu</w:t>
      </w:r>
      <w:r>
        <w:rPr>
          <w:rFonts w:eastAsia="Times New Roman" w:cstheme="minorHAnsi"/>
          <w:lang w:eastAsia="it-IT"/>
        </w:rPr>
        <w:t>ito</w:t>
      </w:r>
      <w:r w:rsidR="00092EA1" w:rsidRPr="009864CB">
        <w:rPr>
          <w:rFonts w:eastAsia="Times New Roman" w:cstheme="minorHAnsi"/>
          <w:lang w:eastAsia="it-IT"/>
        </w:rPr>
        <w:t xml:space="preserve"> il carico tumor</w:t>
      </w:r>
      <w:r w:rsidR="00092EA1" w:rsidRPr="00092EA1">
        <w:rPr>
          <w:rFonts w:eastAsia="Times New Roman" w:cstheme="minorHAnsi"/>
          <w:color w:val="222222"/>
          <w:lang w:eastAsia="it-IT"/>
        </w:rPr>
        <w:t>ale</w:t>
      </w:r>
      <w:r>
        <w:rPr>
          <w:rFonts w:eastAsia="Times New Roman" w:cstheme="minorHAnsi"/>
          <w:color w:val="222222"/>
          <w:lang w:eastAsia="it-IT"/>
        </w:rPr>
        <w:t xml:space="preserve"> che ripristinerebbe anche </w:t>
      </w:r>
      <w:r w:rsidR="00092EA1" w:rsidRPr="00092EA1">
        <w:rPr>
          <w:rFonts w:eastAsia="Times New Roman" w:cstheme="minorHAnsi"/>
          <w:color w:val="222222"/>
          <w:lang w:eastAsia="it-IT"/>
        </w:rPr>
        <w:t>l'</w:t>
      </w:r>
      <w:proofErr w:type="spellStart"/>
      <w:r w:rsidR="00092EA1" w:rsidRPr="00092EA1">
        <w:rPr>
          <w:rFonts w:eastAsia="Times New Roman" w:cstheme="minorHAnsi"/>
          <w:color w:val="222222"/>
          <w:lang w:eastAsia="it-IT"/>
        </w:rPr>
        <w:t>immuno</w:t>
      </w:r>
      <w:proofErr w:type="spellEnd"/>
      <w:r w:rsidR="009266E3">
        <w:rPr>
          <w:rFonts w:eastAsia="Times New Roman" w:cstheme="minorHAnsi"/>
          <w:color w:val="222222"/>
          <w:lang w:eastAsia="it-IT"/>
        </w:rPr>
        <w:t>-</w:t>
      </w:r>
      <w:r w:rsidR="00092EA1" w:rsidRPr="00092EA1">
        <w:rPr>
          <w:rFonts w:eastAsia="Times New Roman" w:cstheme="minorHAnsi"/>
          <w:color w:val="222222"/>
          <w:lang w:eastAsia="it-IT"/>
        </w:rPr>
        <w:t>modulaz</w:t>
      </w:r>
      <w:r>
        <w:rPr>
          <w:rFonts w:eastAsia="Times New Roman" w:cstheme="minorHAnsi"/>
          <w:color w:val="222222"/>
          <w:lang w:eastAsia="it-IT"/>
        </w:rPr>
        <w:t>ione rimuovendo la</w:t>
      </w:r>
      <w:r w:rsidR="00092EA1">
        <w:rPr>
          <w:rFonts w:eastAsia="Times New Roman" w:cstheme="minorHAnsi"/>
          <w:color w:val="222222"/>
          <w:lang w:eastAsia="it-IT"/>
        </w:rPr>
        <w:t xml:space="preserve"> potenziale</w:t>
      </w:r>
      <w:r>
        <w:rPr>
          <w:rFonts w:eastAsia="Times New Roman" w:cstheme="minorHAnsi"/>
          <w:color w:val="222222"/>
          <w:lang w:eastAsia="it-IT"/>
        </w:rPr>
        <w:t xml:space="preserve"> </w:t>
      </w:r>
      <w:r w:rsidR="00092EA1" w:rsidRPr="00092EA1">
        <w:rPr>
          <w:rFonts w:eastAsia="Times New Roman" w:cstheme="minorHAnsi"/>
          <w:color w:val="222222"/>
          <w:lang w:eastAsia="it-IT"/>
        </w:rPr>
        <w:t xml:space="preserve">fonte di </w:t>
      </w:r>
      <w:proofErr w:type="spellStart"/>
      <w:r w:rsidR="00092EA1" w:rsidRPr="00092EA1">
        <w:rPr>
          <w:rFonts w:eastAsia="Times New Roman" w:cstheme="minorHAnsi"/>
          <w:color w:val="222222"/>
          <w:lang w:eastAsia="it-IT"/>
        </w:rPr>
        <w:t>immuno</w:t>
      </w:r>
      <w:proofErr w:type="spellEnd"/>
      <w:r w:rsidR="009266E3">
        <w:rPr>
          <w:rFonts w:eastAsia="Times New Roman" w:cstheme="minorHAnsi"/>
          <w:color w:val="222222"/>
          <w:lang w:eastAsia="it-IT"/>
        </w:rPr>
        <w:t>-</w:t>
      </w:r>
      <w:r w:rsidR="00092EA1" w:rsidRPr="00092EA1">
        <w:rPr>
          <w:rFonts w:eastAsia="Times New Roman" w:cstheme="minorHAnsi"/>
          <w:color w:val="222222"/>
          <w:lang w:eastAsia="it-IT"/>
        </w:rPr>
        <w:t>soppressione dal sito del tumore primario, e</w:t>
      </w:r>
      <w:r w:rsidR="00092EA1">
        <w:rPr>
          <w:rFonts w:eastAsia="Times New Roman" w:cstheme="minorHAnsi"/>
          <w:color w:val="222222"/>
          <w:lang w:eastAsia="it-IT"/>
        </w:rPr>
        <w:t xml:space="preserve"> </w:t>
      </w:r>
      <w:r w:rsidR="00092EA1" w:rsidRPr="00092EA1">
        <w:rPr>
          <w:rFonts w:eastAsia="Times New Roman" w:cstheme="minorHAnsi"/>
          <w:color w:val="222222"/>
          <w:lang w:eastAsia="it-IT"/>
        </w:rPr>
        <w:t>migliorando</w:t>
      </w:r>
      <w:r>
        <w:rPr>
          <w:rFonts w:eastAsia="Times New Roman" w:cstheme="minorHAnsi"/>
          <w:color w:val="222222"/>
          <w:lang w:eastAsia="it-IT"/>
        </w:rPr>
        <w:t xml:space="preserve"> quindi anche </w:t>
      </w:r>
      <w:r w:rsidR="00092EA1" w:rsidRPr="00092EA1">
        <w:rPr>
          <w:rFonts w:eastAsia="Times New Roman" w:cstheme="minorHAnsi"/>
          <w:color w:val="222222"/>
          <w:lang w:eastAsia="it-IT"/>
        </w:rPr>
        <w:t>la reattività alla terapia sistemica.</w:t>
      </w:r>
      <w:r>
        <w:rPr>
          <w:rFonts w:eastAsia="Times New Roman" w:cstheme="minorHAnsi"/>
          <w:color w:val="222222"/>
          <w:lang w:eastAsia="it-IT"/>
        </w:rPr>
        <w:t xml:space="preserve"> </w:t>
      </w:r>
    </w:p>
    <w:p w:rsidR="00092EA1" w:rsidRDefault="009864CB" w:rsidP="00F35FCB">
      <w:pPr>
        <w:spacing w:after="120" w:line="240" w:lineRule="auto"/>
        <w:contextualSpacing/>
        <w:jc w:val="both"/>
        <w:rPr>
          <w:rFonts w:eastAsia="Times New Roman" w:cstheme="minorHAnsi"/>
          <w:color w:val="222222"/>
          <w:lang w:eastAsia="it-IT"/>
        </w:rPr>
      </w:pPr>
      <w:r>
        <w:rPr>
          <w:rFonts w:eastAsia="Times New Roman" w:cstheme="minorHAnsi"/>
          <w:color w:val="222222"/>
          <w:lang w:eastAsia="it-IT"/>
        </w:rPr>
        <w:t>Gli avversari della  resezione chirurgica citano la mancanza di studi randomizzati che dimostri</w:t>
      </w:r>
      <w:r w:rsidRPr="009864CB">
        <w:rPr>
          <w:rFonts w:eastAsia="Times New Roman" w:cstheme="minorHAnsi"/>
          <w:color w:val="222222"/>
          <w:lang w:eastAsia="it-IT"/>
        </w:rPr>
        <w:t xml:space="preserve">no la morbilità associata alla procedura chirurgica e </w:t>
      </w:r>
      <w:r>
        <w:rPr>
          <w:rFonts w:eastAsia="Times New Roman" w:cstheme="minorHAnsi"/>
          <w:color w:val="222222"/>
          <w:lang w:eastAsia="it-IT"/>
        </w:rPr>
        <w:t xml:space="preserve">il </w:t>
      </w:r>
      <w:r w:rsidRPr="009864CB">
        <w:rPr>
          <w:rFonts w:eastAsia="Times New Roman" w:cstheme="minorHAnsi"/>
          <w:color w:val="222222"/>
          <w:lang w:eastAsia="it-IT"/>
        </w:rPr>
        <w:t>potenzial</w:t>
      </w:r>
      <w:r>
        <w:rPr>
          <w:rFonts w:eastAsia="Times New Roman" w:cstheme="minorHAnsi"/>
          <w:color w:val="222222"/>
          <w:lang w:eastAsia="it-IT"/>
        </w:rPr>
        <w:t>e</w:t>
      </w:r>
      <w:r w:rsidRPr="009864CB">
        <w:rPr>
          <w:rFonts w:eastAsia="Times New Roman" w:cstheme="minorHAnsi"/>
          <w:color w:val="222222"/>
          <w:lang w:eastAsia="it-IT"/>
        </w:rPr>
        <w:t xml:space="preserve">  ritardo nella somministrazione della terapia sistemica, </w:t>
      </w:r>
      <w:r>
        <w:rPr>
          <w:rFonts w:eastAsia="Times New Roman" w:cstheme="minorHAnsi"/>
          <w:color w:val="222222"/>
          <w:lang w:eastAsia="it-IT"/>
        </w:rPr>
        <w:t xml:space="preserve">insieme </w:t>
      </w:r>
      <w:r w:rsidRPr="009864CB">
        <w:rPr>
          <w:rFonts w:eastAsia="Times New Roman" w:cstheme="minorHAnsi"/>
          <w:color w:val="222222"/>
          <w:lang w:eastAsia="it-IT"/>
        </w:rPr>
        <w:t>alla teoria di</w:t>
      </w:r>
      <w:r>
        <w:rPr>
          <w:rFonts w:eastAsia="Times New Roman" w:cstheme="minorHAnsi"/>
          <w:color w:val="222222"/>
          <w:lang w:eastAsia="it-IT"/>
        </w:rPr>
        <w:t xml:space="preserve"> un </w:t>
      </w:r>
      <w:r w:rsidRPr="009864CB">
        <w:rPr>
          <w:rFonts w:eastAsia="Times New Roman" w:cstheme="minorHAnsi"/>
          <w:color w:val="222222"/>
          <w:lang w:eastAsia="it-IT"/>
        </w:rPr>
        <w:t xml:space="preserve">aumento dell'angiogenesi e </w:t>
      </w:r>
      <w:r>
        <w:rPr>
          <w:rFonts w:eastAsia="Times New Roman" w:cstheme="minorHAnsi"/>
          <w:color w:val="222222"/>
          <w:lang w:eastAsia="it-IT"/>
        </w:rPr>
        <w:t>di recidive locali precoci</w:t>
      </w:r>
      <w:r w:rsidR="00027162">
        <w:rPr>
          <w:rFonts w:eastAsia="Times New Roman" w:cstheme="minorHAnsi"/>
          <w:color w:val="222222"/>
          <w:lang w:eastAsia="it-IT"/>
        </w:rPr>
        <w:t xml:space="preserve"> nella sede</w:t>
      </w:r>
      <w:r w:rsidRPr="009864CB">
        <w:rPr>
          <w:rFonts w:eastAsia="Times New Roman" w:cstheme="minorHAnsi"/>
          <w:color w:val="222222"/>
          <w:lang w:eastAsia="it-IT"/>
        </w:rPr>
        <w:t xml:space="preserve"> a</w:t>
      </w:r>
      <w:r>
        <w:rPr>
          <w:rFonts w:eastAsia="Times New Roman" w:cstheme="minorHAnsi"/>
          <w:color w:val="222222"/>
          <w:lang w:eastAsia="it-IT"/>
        </w:rPr>
        <w:t xml:space="preserve">lla </w:t>
      </w:r>
      <w:r w:rsidRPr="009864CB">
        <w:rPr>
          <w:rFonts w:eastAsia="Times New Roman" w:cstheme="minorHAnsi"/>
          <w:color w:val="222222"/>
          <w:lang w:eastAsia="it-IT"/>
        </w:rPr>
        <w:t xml:space="preserve">ferita </w:t>
      </w:r>
      <w:r w:rsidR="00027162">
        <w:rPr>
          <w:rFonts w:eastAsia="Times New Roman" w:cstheme="minorHAnsi"/>
          <w:color w:val="222222"/>
          <w:lang w:eastAsia="it-IT"/>
        </w:rPr>
        <w:t xml:space="preserve">chirurgica </w:t>
      </w:r>
      <w:r w:rsidRPr="009864CB">
        <w:rPr>
          <w:rFonts w:eastAsia="Times New Roman" w:cstheme="minorHAnsi"/>
          <w:color w:val="222222"/>
          <w:lang w:eastAsia="it-IT"/>
        </w:rPr>
        <w:t>nel cancro metastatico</w:t>
      </w:r>
      <w:r w:rsidR="009266E3">
        <w:rPr>
          <w:rFonts w:eastAsia="Times New Roman" w:cstheme="minorHAnsi"/>
          <w:color w:val="222222"/>
          <w:lang w:eastAsia="it-IT"/>
        </w:rPr>
        <w:t>.</w:t>
      </w:r>
    </w:p>
    <w:p w:rsidR="00225146" w:rsidRDefault="00225146" w:rsidP="00F35FCB">
      <w:pPr>
        <w:spacing w:line="240" w:lineRule="auto"/>
        <w:contextualSpacing/>
        <w:rPr>
          <w:rFonts w:ascii="Arial" w:eastAsia="Times New Roman" w:hAnsi="Arial" w:cs="Arial"/>
          <w:color w:val="777777"/>
          <w:sz w:val="20"/>
          <w:szCs w:val="20"/>
          <w:lang w:eastAsia="it-IT"/>
        </w:rPr>
      </w:pPr>
      <w:r>
        <w:t xml:space="preserve">Tuttavia gli studi retrospettivi sono schiaccianti e suggeriscono l’esistenza di un sottoinsieme di pazienti che trarrà beneficio dalla resezione del tumore primitivo. Questa polemica potrà essere risolta solo da uno studio randomizzato ben progettato che prenda in considerazione tutte le limitazioni intrinseche degli studi retrospettivi. Lo studio di fase III </w:t>
      </w:r>
      <w:r w:rsidR="00195E79">
        <w:t xml:space="preserve">ECOG 2108 che </w:t>
      </w:r>
      <w:r>
        <w:t>ha appena completato il reclutamento</w:t>
      </w:r>
      <w:r w:rsidR="00195E79">
        <w:t xml:space="preserve"> delle pazienti, si propone di</w:t>
      </w:r>
      <w:r w:rsidR="00195E79" w:rsidRPr="00195E79">
        <w:t xml:space="preserve"> valutare se la terapia locale precoce</w:t>
      </w:r>
      <w:r w:rsidR="00195E79">
        <w:t>,</w:t>
      </w:r>
      <w:r w:rsidR="00195E79" w:rsidRPr="00195E79">
        <w:t xml:space="preserve"> comprendente la chirurgia</w:t>
      </w:r>
      <w:r w:rsidR="00195E79">
        <w:t xml:space="preserve"> del tumore primario</w:t>
      </w:r>
      <w:r w:rsidR="00195E79" w:rsidRPr="00195E79">
        <w:t xml:space="preserve"> rispetto alla terapia palliativa locale solo in pazienti con carcinoma mammario in </w:t>
      </w:r>
      <w:r w:rsidR="00195E79">
        <w:t>stadio IV e</w:t>
      </w:r>
      <w:r w:rsidR="00195E79" w:rsidRPr="00195E79">
        <w:t xml:space="preserve"> la cui malattia non progredisce durante la terapia sistemica ottimale iniziale, si tradurrà</w:t>
      </w:r>
      <w:r w:rsidR="00195E79">
        <w:t xml:space="preserve"> realmente</w:t>
      </w:r>
      <w:r w:rsidR="00195E79" w:rsidRPr="00195E79">
        <w:t xml:space="preserve"> in una sopravvivenza prolungata.</w:t>
      </w:r>
      <w:r w:rsidR="00195E79">
        <w:t xml:space="preserve">  E’ uno studio multicentrico nel quale le</w:t>
      </w:r>
      <w:r w:rsidR="00195E79" w:rsidRPr="00195E79">
        <w:t xml:space="preserve"> pazienti sono stratificati in base al recettore ormonale e al piano di trattamento (ER + o PR +, HER2-, terapia endocrina da sola vs ER + o PR + e HER2-, chemioterapia e / o terapia endocrina vs ER- o PR-, e HER2- vs</w:t>
      </w:r>
      <w:r w:rsidR="00195E79">
        <w:t xml:space="preserve"> HER2 +), e il numero</w:t>
      </w:r>
      <w:r w:rsidR="00195E79" w:rsidRPr="00195E79">
        <w:t xml:space="preserve"> di organ</w:t>
      </w:r>
      <w:r w:rsidR="00195E79">
        <w:t>i coinvolti da metastasi</w:t>
      </w:r>
      <w:r w:rsidR="00195E79" w:rsidRPr="00195E79">
        <w:t xml:space="preserve"> (i </w:t>
      </w:r>
      <w:r w:rsidR="00195E79">
        <w:t>linfonodi</w:t>
      </w:r>
      <w:r w:rsidR="00195E79" w:rsidRPr="00195E79">
        <w:t xml:space="preserve"> regionali nelle localizzazioni ascellari, </w:t>
      </w:r>
      <w:proofErr w:type="spellStart"/>
      <w:r w:rsidR="00195E79" w:rsidRPr="00195E79">
        <w:t>sopraclaveari</w:t>
      </w:r>
      <w:proofErr w:type="spellEnd"/>
      <w:r w:rsidR="00195E79" w:rsidRPr="00195E79">
        <w:t xml:space="preserve"> e mammarie interne non sono consider</w:t>
      </w:r>
      <w:r w:rsidR="00195E79">
        <w:t xml:space="preserve">ati siti distanti) (1 vs&gt; 1). Le pazienti sono randomizzate in </w:t>
      </w:r>
      <w:r w:rsidR="00195E79" w:rsidRPr="00195E79">
        <w:t xml:space="preserve"> 2 braccia di trattamento</w:t>
      </w:r>
      <w:r w:rsidR="00195E79">
        <w:t xml:space="preserve"> con assegnazione parallele</w:t>
      </w:r>
      <w:r w:rsidR="00D4630A">
        <w:t xml:space="preserve"> e saranno considerati anche parametri biologici e di qualità di vita</w:t>
      </w:r>
      <w:r w:rsidR="00195E79" w:rsidRPr="00195E79">
        <w:t>.</w:t>
      </w:r>
      <w:r w:rsidR="00195E79">
        <w:t xml:space="preserve"> I primi risultati sono attesi entro il 2022.</w:t>
      </w:r>
      <w:r>
        <w:t xml:space="preserve">  </w:t>
      </w:r>
    </w:p>
    <w:p w:rsidR="00BE1217" w:rsidRDefault="00E96982" w:rsidP="00F35FCB">
      <w:pPr>
        <w:spacing w:line="240" w:lineRule="auto"/>
        <w:contextualSpacing/>
      </w:pPr>
      <w:r>
        <w:t>Q</w:t>
      </w:r>
      <w:r w:rsidR="00D4630A">
        <w:t>uesta analisi dei dati del SEER è una</w:t>
      </w:r>
      <w:r>
        <w:t xml:space="preserve"> importante</w:t>
      </w:r>
      <w:r w:rsidR="00D4630A">
        <w:t xml:space="preserve"> base di valutazione</w:t>
      </w:r>
      <w:r>
        <w:t xml:space="preserve"> per chirurghi e oncologi senologi nella pratica clinica perché nella malattia metastatica spesso l’importanza della chirurgia viene sottovalutata nonostante la frequente e sensata richiesta da parte delle pazienti  di “ liberare il corpo dalla fonte originale di questa malattia”. Le pazienti</w:t>
      </w:r>
      <w:r w:rsidR="00D4630A">
        <w:t xml:space="preserve"> spesso</w:t>
      </w:r>
      <w:r>
        <w:t xml:space="preserve"> esprimono una migliore qualità della vita dopo aver rimosso il tumore dal seno perché sanno che l'origine del </w:t>
      </w:r>
      <w:r w:rsidR="00225146">
        <w:t>loro cancro è ormai "eliminata</w:t>
      </w:r>
      <w:r>
        <w:t>" e ciò è di grande impatto sia fisico sia psicologico.</w:t>
      </w:r>
    </w:p>
    <w:p w:rsidR="00BE1217" w:rsidRDefault="00BE1217" w:rsidP="00F35FCB">
      <w:pPr>
        <w:spacing w:line="240" w:lineRule="auto"/>
        <w:contextualSpacing/>
      </w:pPr>
      <w:r>
        <w:t xml:space="preserve">La raccomandazione conclusiva </w:t>
      </w:r>
      <w:r w:rsidR="00D4630A">
        <w:t xml:space="preserve">del lavoro </w:t>
      </w:r>
      <w:r>
        <w:t>è che tutte le pazienti con malattia metastatica</w:t>
      </w:r>
      <w:r w:rsidR="00D4630A">
        <w:t>, al di fuori di trials clinici,</w:t>
      </w:r>
      <w:r>
        <w:t xml:space="preserve"> vengano valutate in un team multidisciplinare per </w:t>
      </w:r>
      <w:r w:rsidR="009266E3">
        <w:t xml:space="preserve">una loro </w:t>
      </w:r>
      <w:r>
        <w:t>adeguata selezione,</w:t>
      </w:r>
      <w:r w:rsidR="009266E3">
        <w:t xml:space="preserve"> per decisioni ottimali</w:t>
      </w:r>
      <w:r>
        <w:t xml:space="preserve"> </w:t>
      </w:r>
      <w:r w:rsidR="009266E3">
        <w:t>in rapporto a</w:t>
      </w:r>
      <w:r>
        <w:t>l timing della chirurgia</w:t>
      </w:r>
      <w:r w:rsidR="009266E3">
        <w:t xml:space="preserve"> </w:t>
      </w:r>
      <w:r>
        <w:t xml:space="preserve">e </w:t>
      </w:r>
      <w:r w:rsidR="009266E3">
        <w:t>al</w:t>
      </w:r>
      <w:r>
        <w:t>la sequenza delle terapie sistemiche</w:t>
      </w:r>
      <w:r w:rsidR="009266E3">
        <w:t>.</w:t>
      </w:r>
    </w:p>
    <w:p w:rsidR="004E3B9D" w:rsidRDefault="004E3B9D" w:rsidP="00F35FCB">
      <w:pPr>
        <w:spacing w:line="240" w:lineRule="auto"/>
        <w:contextualSpacing/>
      </w:pPr>
    </w:p>
    <w:p w:rsidR="004E3B9D" w:rsidRDefault="004E3B9D" w:rsidP="00F35FCB">
      <w:pPr>
        <w:spacing w:line="240" w:lineRule="auto"/>
        <w:contextualSpacing/>
      </w:pPr>
    </w:p>
    <w:p w:rsidR="004E3B9D" w:rsidRDefault="004E3B9D" w:rsidP="00F35FCB">
      <w:pPr>
        <w:spacing w:line="240" w:lineRule="auto"/>
        <w:contextualSpacing/>
      </w:pPr>
    </w:p>
    <w:p w:rsidR="004E3B9D" w:rsidRDefault="004E3B9D" w:rsidP="00F35FCB">
      <w:pPr>
        <w:spacing w:line="240" w:lineRule="auto"/>
        <w:contextualSpacing/>
      </w:pPr>
    </w:p>
    <w:p w:rsidR="004E3B9D" w:rsidRDefault="004E3B9D" w:rsidP="00F35FCB">
      <w:pPr>
        <w:spacing w:line="240" w:lineRule="auto"/>
        <w:contextualSpacing/>
      </w:pPr>
    </w:p>
    <w:p w:rsidR="00AF024B" w:rsidRDefault="00AF024B" w:rsidP="00F35FCB">
      <w:pPr>
        <w:pBdr>
          <w:bottom w:val="single" w:sz="12" w:space="1" w:color="auto"/>
        </w:pBdr>
        <w:spacing w:line="240" w:lineRule="auto"/>
        <w:contextualSpacing/>
      </w:pPr>
    </w:p>
    <w:p w:rsidR="00EE6E5E" w:rsidRDefault="00EE6E5E" w:rsidP="00EE6E5E">
      <w:pPr>
        <w:spacing w:line="240" w:lineRule="auto"/>
        <w:contextualSpacing/>
        <w:rPr>
          <w:b/>
        </w:rPr>
      </w:pPr>
    </w:p>
    <w:p w:rsidR="00EE6E5E" w:rsidRPr="00C869DB" w:rsidRDefault="00EE6E5E" w:rsidP="00EE6E5E">
      <w:pPr>
        <w:spacing w:line="240" w:lineRule="auto"/>
        <w:contextualSpacing/>
        <w:rPr>
          <w:b/>
          <w:sz w:val="24"/>
          <w:szCs w:val="24"/>
        </w:rPr>
      </w:pPr>
      <w:proofErr w:type="spellStart"/>
      <w:r w:rsidRPr="00C869DB">
        <w:rPr>
          <w:b/>
          <w:sz w:val="24"/>
          <w:szCs w:val="24"/>
        </w:rPr>
        <w:t>Associations</w:t>
      </w:r>
      <w:proofErr w:type="spellEnd"/>
      <w:r w:rsidRPr="00C869DB">
        <w:rPr>
          <w:b/>
          <w:sz w:val="24"/>
          <w:szCs w:val="24"/>
        </w:rPr>
        <w:t xml:space="preserve"> </w:t>
      </w:r>
      <w:proofErr w:type="spellStart"/>
      <w:r w:rsidRPr="00C869DB">
        <w:rPr>
          <w:b/>
          <w:sz w:val="24"/>
          <w:szCs w:val="24"/>
        </w:rPr>
        <w:t>Between</w:t>
      </w:r>
      <w:proofErr w:type="spellEnd"/>
      <w:r w:rsidRPr="00C869DB">
        <w:rPr>
          <w:b/>
          <w:sz w:val="24"/>
          <w:szCs w:val="24"/>
        </w:rPr>
        <w:t xml:space="preserve"> </w:t>
      </w:r>
      <w:proofErr w:type="spellStart"/>
      <w:r w:rsidRPr="00C869DB">
        <w:rPr>
          <w:b/>
          <w:sz w:val="24"/>
          <w:szCs w:val="24"/>
        </w:rPr>
        <w:t>Serum</w:t>
      </w:r>
      <w:proofErr w:type="spellEnd"/>
      <w:r w:rsidRPr="00C869DB">
        <w:rPr>
          <w:b/>
          <w:sz w:val="24"/>
          <w:szCs w:val="24"/>
        </w:rPr>
        <w:t xml:space="preserve"> Bone </w:t>
      </w:r>
      <w:proofErr w:type="spellStart"/>
      <w:r w:rsidRPr="00C869DB">
        <w:rPr>
          <w:b/>
          <w:sz w:val="24"/>
          <w:szCs w:val="24"/>
        </w:rPr>
        <w:t>Biomarkers</w:t>
      </w:r>
      <w:proofErr w:type="spellEnd"/>
      <w:r w:rsidRPr="00C869DB">
        <w:rPr>
          <w:b/>
          <w:sz w:val="24"/>
          <w:szCs w:val="24"/>
        </w:rPr>
        <w:t xml:space="preserve"> in </w:t>
      </w:r>
      <w:proofErr w:type="spellStart"/>
      <w:r w:rsidRPr="00C869DB">
        <w:rPr>
          <w:b/>
          <w:sz w:val="24"/>
          <w:szCs w:val="24"/>
        </w:rPr>
        <w:t>Early</w:t>
      </w:r>
      <w:proofErr w:type="spellEnd"/>
      <w:r w:rsidRPr="00C869DB">
        <w:rPr>
          <w:b/>
          <w:sz w:val="24"/>
          <w:szCs w:val="24"/>
        </w:rPr>
        <w:t xml:space="preserve"> </w:t>
      </w:r>
      <w:proofErr w:type="spellStart"/>
      <w:r w:rsidRPr="00C869DB">
        <w:rPr>
          <w:b/>
          <w:sz w:val="24"/>
          <w:szCs w:val="24"/>
        </w:rPr>
        <w:t>Breast</w:t>
      </w:r>
      <w:proofErr w:type="spellEnd"/>
      <w:r w:rsidRPr="00C869DB">
        <w:rPr>
          <w:b/>
          <w:sz w:val="24"/>
          <w:szCs w:val="24"/>
        </w:rPr>
        <w:t xml:space="preserve"> </w:t>
      </w:r>
      <w:proofErr w:type="spellStart"/>
      <w:r w:rsidRPr="00C869DB">
        <w:rPr>
          <w:b/>
          <w:sz w:val="24"/>
          <w:szCs w:val="24"/>
        </w:rPr>
        <w:t>Cancer</w:t>
      </w:r>
      <w:proofErr w:type="spellEnd"/>
      <w:r w:rsidRPr="00C869DB">
        <w:rPr>
          <w:b/>
          <w:sz w:val="24"/>
          <w:szCs w:val="24"/>
        </w:rPr>
        <w:t xml:space="preserve"> and Development of Bone </w:t>
      </w:r>
      <w:proofErr w:type="spellStart"/>
      <w:r w:rsidRPr="00C869DB">
        <w:rPr>
          <w:b/>
          <w:sz w:val="24"/>
          <w:szCs w:val="24"/>
        </w:rPr>
        <w:t>Metastasis</w:t>
      </w:r>
      <w:proofErr w:type="spellEnd"/>
      <w:r w:rsidRPr="00C869DB">
        <w:rPr>
          <w:b/>
          <w:sz w:val="24"/>
          <w:szCs w:val="24"/>
        </w:rPr>
        <w:t xml:space="preserve">: </w:t>
      </w:r>
      <w:proofErr w:type="spellStart"/>
      <w:r w:rsidRPr="00C869DB">
        <w:rPr>
          <w:b/>
          <w:sz w:val="24"/>
          <w:szCs w:val="24"/>
        </w:rPr>
        <w:t>Results</w:t>
      </w:r>
      <w:proofErr w:type="spellEnd"/>
      <w:r w:rsidRPr="00C869DB">
        <w:rPr>
          <w:b/>
          <w:sz w:val="24"/>
          <w:szCs w:val="24"/>
        </w:rPr>
        <w:t xml:space="preserve"> From the AZURE (BIG01/04) Trial</w:t>
      </w:r>
    </w:p>
    <w:p w:rsidR="00EE6E5E" w:rsidRPr="00C869DB" w:rsidRDefault="00EE6E5E" w:rsidP="00EE6E5E">
      <w:pPr>
        <w:spacing w:line="240" w:lineRule="auto"/>
        <w:contextualSpacing/>
        <w:rPr>
          <w:i/>
          <w:sz w:val="24"/>
          <w:szCs w:val="24"/>
        </w:rPr>
      </w:pPr>
      <w:r w:rsidRPr="00C869DB">
        <w:rPr>
          <w:i/>
          <w:sz w:val="24"/>
          <w:szCs w:val="24"/>
        </w:rPr>
        <w:t xml:space="preserve">Janet </w:t>
      </w:r>
      <w:proofErr w:type="spellStart"/>
      <w:r w:rsidRPr="00C869DB">
        <w:rPr>
          <w:i/>
          <w:sz w:val="24"/>
          <w:szCs w:val="24"/>
        </w:rPr>
        <w:t>Brown</w:t>
      </w:r>
      <w:proofErr w:type="spellEnd"/>
      <w:r w:rsidRPr="00C869DB">
        <w:rPr>
          <w:i/>
          <w:sz w:val="24"/>
          <w:szCs w:val="24"/>
        </w:rPr>
        <w:t xml:space="preserve">*, Emma </w:t>
      </w:r>
      <w:proofErr w:type="spellStart"/>
      <w:r w:rsidRPr="00C869DB">
        <w:rPr>
          <w:i/>
          <w:sz w:val="24"/>
          <w:szCs w:val="24"/>
        </w:rPr>
        <w:t>Rathbone</w:t>
      </w:r>
      <w:proofErr w:type="spellEnd"/>
      <w:r w:rsidRPr="00C869DB">
        <w:rPr>
          <w:i/>
          <w:sz w:val="24"/>
          <w:szCs w:val="24"/>
        </w:rPr>
        <w:t xml:space="preserve">*, Samantha </w:t>
      </w:r>
      <w:proofErr w:type="spellStart"/>
      <w:r w:rsidRPr="00C869DB">
        <w:rPr>
          <w:i/>
          <w:sz w:val="24"/>
          <w:szCs w:val="24"/>
        </w:rPr>
        <w:t>Hinsley</w:t>
      </w:r>
      <w:proofErr w:type="spellEnd"/>
      <w:r w:rsidRPr="00C869DB">
        <w:rPr>
          <w:i/>
          <w:sz w:val="24"/>
          <w:szCs w:val="24"/>
        </w:rPr>
        <w:t xml:space="preserve">, Walter Gregory, Fatma </w:t>
      </w:r>
      <w:proofErr w:type="spellStart"/>
      <w:r w:rsidRPr="00C869DB">
        <w:rPr>
          <w:i/>
          <w:sz w:val="24"/>
          <w:szCs w:val="24"/>
        </w:rPr>
        <w:t>Gossiel</w:t>
      </w:r>
      <w:proofErr w:type="spellEnd"/>
      <w:r w:rsidRPr="00C869DB">
        <w:rPr>
          <w:i/>
          <w:sz w:val="24"/>
          <w:szCs w:val="24"/>
        </w:rPr>
        <w:t xml:space="preserve">, Helen Marshall, Roger </w:t>
      </w:r>
      <w:proofErr w:type="spellStart"/>
      <w:r w:rsidRPr="00C869DB">
        <w:rPr>
          <w:i/>
          <w:sz w:val="24"/>
          <w:szCs w:val="24"/>
        </w:rPr>
        <w:t>Burkinshaw</w:t>
      </w:r>
      <w:proofErr w:type="spellEnd"/>
      <w:r w:rsidRPr="00C869DB">
        <w:rPr>
          <w:i/>
          <w:sz w:val="24"/>
          <w:szCs w:val="24"/>
        </w:rPr>
        <w:t xml:space="preserve">, Helen </w:t>
      </w:r>
      <w:proofErr w:type="spellStart"/>
      <w:r w:rsidRPr="00C869DB">
        <w:rPr>
          <w:i/>
          <w:sz w:val="24"/>
          <w:szCs w:val="24"/>
        </w:rPr>
        <w:t>Shulver</w:t>
      </w:r>
      <w:proofErr w:type="spellEnd"/>
      <w:r w:rsidRPr="00C869DB">
        <w:rPr>
          <w:i/>
          <w:sz w:val="24"/>
          <w:szCs w:val="24"/>
        </w:rPr>
        <w:t xml:space="preserve">, </w:t>
      </w:r>
      <w:proofErr w:type="spellStart"/>
      <w:r w:rsidRPr="00C869DB">
        <w:rPr>
          <w:i/>
          <w:sz w:val="24"/>
          <w:szCs w:val="24"/>
        </w:rPr>
        <w:t>Hasina</w:t>
      </w:r>
      <w:proofErr w:type="spellEnd"/>
      <w:r w:rsidRPr="00C869DB">
        <w:rPr>
          <w:i/>
          <w:sz w:val="24"/>
          <w:szCs w:val="24"/>
        </w:rPr>
        <w:t xml:space="preserve"> </w:t>
      </w:r>
      <w:proofErr w:type="spellStart"/>
      <w:r w:rsidRPr="00C869DB">
        <w:rPr>
          <w:i/>
          <w:sz w:val="24"/>
          <w:szCs w:val="24"/>
        </w:rPr>
        <w:t>Thandar</w:t>
      </w:r>
      <w:proofErr w:type="spellEnd"/>
      <w:r w:rsidRPr="00C869DB">
        <w:rPr>
          <w:i/>
          <w:sz w:val="24"/>
          <w:szCs w:val="24"/>
        </w:rPr>
        <w:t xml:space="preserve">, </w:t>
      </w:r>
      <w:proofErr w:type="spellStart"/>
      <w:r w:rsidRPr="00C869DB">
        <w:rPr>
          <w:i/>
          <w:sz w:val="24"/>
          <w:szCs w:val="24"/>
        </w:rPr>
        <w:t>Gianfilippo</w:t>
      </w:r>
      <w:proofErr w:type="spellEnd"/>
      <w:r w:rsidRPr="00C869DB">
        <w:rPr>
          <w:i/>
          <w:sz w:val="24"/>
          <w:szCs w:val="24"/>
        </w:rPr>
        <w:t xml:space="preserve"> Bertelli, Keane </w:t>
      </w:r>
      <w:proofErr w:type="spellStart"/>
      <w:r w:rsidRPr="00C869DB">
        <w:rPr>
          <w:i/>
          <w:sz w:val="24"/>
          <w:szCs w:val="24"/>
        </w:rPr>
        <w:t>Maccon</w:t>
      </w:r>
      <w:proofErr w:type="spellEnd"/>
      <w:r w:rsidRPr="00C869DB">
        <w:rPr>
          <w:i/>
          <w:sz w:val="24"/>
          <w:szCs w:val="24"/>
        </w:rPr>
        <w:t xml:space="preserve">, Angela Bowman, Andrew </w:t>
      </w:r>
      <w:proofErr w:type="spellStart"/>
      <w:r w:rsidRPr="00C869DB">
        <w:rPr>
          <w:i/>
          <w:sz w:val="24"/>
          <w:szCs w:val="24"/>
        </w:rPr>
        <w:t>Hanby</w:t>
      </w:r>
      <w:proofErr w:type="spellEnd"/>
      <w:r w:rsidRPr="00C869DB">
        <w:rPr>
          <w:i/>
          <w:sz w:val="24"/>
          <w:szCs w:val="24"/>
        </w:rPr>
        <w:t>, Richard Bell, David Cameron, Robert Coleman</w:t>
      </w:r>
    </w:p>
    <w:p w:rsidR="00EE6E5E" w:rsidRPr="00C869DB" w:rsidRDefault="00EE6E5E" w:rsidP="00EE6E5E">
      <w:pPr>
        <w:spacing w:line="240" w:lineRule="auto"/>
        <w:contextualSpacing/>
        <w:rPr>
          <w:b/>
          <w:sz w:val="24"/>
          <w:szCs w:val="24"/>
        </w:rPr>
      </w:pPr>
      <w:r w:rsidRPr="00C869DB">
        <w:rPr>
          <w:b/>
          <w:sz w:val="24"/>
          <w:szCs w:val="24"/>
        </w:rPr>
        <w:t xml:space="preserve">JNCI J </w:t>
      </w:r>
      <w:proofErr w:type="spellStart"/>
      <w:r w:rsidRPr="00C869DB">
        <w:rPr>
          <w:b/>
          <w:sz w:val="24"/>
          <w:szCs w:val="24"/>
        </w:rPr>
        <w:t>Natl</w:t>
      </w:r>
      <w:proofErr w:type="spellEnd"/>
      <w:r w:rsidRPr="00C869DB">
        <w:rPr>
          <w:b/>
          <w:sz w:val="24"/>
          <w:szCs w:val="24"/>
        </w:rPr>
        <w:t xml:space="preserve"> </w:t>
      </w:r>
      <w:proofErr w:type="spellStart"/>
      <w:r w:rsidRPr="00C869DB">
        <w:rPr>
          <w:b/>
          <w:sz w:val="24"/>
          <w:szCs w:val="24"/>
        </w:rPr>
        <w:t>Cancer</w:t>
      </w:r>
      <w:proofErr w:type="spellEnd"/>
      <w:r w:rsidRPr="00C869DB">
        <w:rPr>
          <w:b/>
          <w:sz w:val="24"/>
          <w:szCs w:val="24"/>
        </w:rPr>
        <w:t xml:space="preserve"> </w:t>
      </w:r>
      <w:proofErr w:type="spellStart"/>
      <w:r w:rsidRPr="00C869DB">
        <w:rPr>
          <w:b/>
          <w:sz w:val="24"/>
          <w:szCs w:val="24"/>
        </w:rPr>
        <w:t>Inst</w:t>
      </w:r>
      <w:proofErr w:type="spellEnd"/>
      <w:r w:rsidRPr="00C869DB">
        <w:rPr>
          <w:b/>
          <w:sz w:val="24"/>
          <w:szCs w:val="24"/>
        </w:rPr>
        <w:t xml:space="preserve"> (2018) 110(8) -  </w:t>
      </w:r>
      <w:proofErr w:type="spellStart"/>
      <w:r w:rsidRPr="00C869DB">
        <w:rPr>
          <w:b/>
          <w:sz w:val="24"/>
          <w:szCs w:val="24"/>
        </w:rPr>
        <w:t>doi</w:t>
      </w:r>
      <w:proofErr w:type="spellEnd"/>
      <w:r w:rsidRPr="00C869DB">
        <w:rPr>
          <w:b/>
          <w:sz w:val="24"/>
          <w:szCs w:val="24"/>
        </w:rPr>
        <w:t>: 10.1093/</w:t>
      </w:r>
      <w:proofErr w:type="spellStart"/>
      <w:r w:rsidRPr="00C869DB">
        <w:rPr>
          <w:b/>
          <w:sz w:val="24"/>
          <w:szCs w:val="24"/>
        </w:rPr>
        <w:t>jnci</w:t>
      </w:r>
      <w:proofErr w:type="spellEnd"/>
      <w:r w:rsidRPr="00C869DB">
        <w:rPr>
          <w:b/>
          <w:sz w:val="24"/>
          <w:szCs w:val="24"/>
        </w:rPr>
        <w:t>/djx280</w:t>
      </w:r>
    </w:p>
    <w:p w:rsidR="00EE6E5E" w:rsidRDefault="00EE6E5E" w:rsidP="00EE6E5E">
      <w:pPr>
        <w:spacing w:line="240" w:lineRule="auto"/>
        <w:contextualSpacing/>
        <w:rPr>
          <w:b/>
        </w:rPr>
      </w:pPr>
    </w:p>
    <w:p w:rsidR="00EE6E5E" w:rsidRDefault="00EE6E5E" w:rsidP="00EE6E5E">
      <w:pPr>
        <w:spacing w:line="240" w:lineRule="auto"/>
        <w:contextualSpacing/>
        <w:rPr>
          <w:b/>
        </w:rPr>
      </w:pPr>
      <w:r>
        <w:rPr>
          <w:b/>
        </w:rPr>
        <w:t>Obiettivo educazionale</w:t>
      </w:r>
    </w:p>
    <w:p w:rsidR="00495F2F" w:rsidRDefault="00495F2F" w:rsidP="00AA08E7">
      <w:pPr>
        <w:spacing w:before="100" w:beforeAutospacing="1" w:after="100" w:afterAutospacing="1" w:line="240" w:lineRule="auto"/>
        <w:contextualSpacing/>
        <w:jc w:val="both"/>
      </w:pPr>
      <w:r>
        <w:t xml:space="preserve">Secondo questo studio, diversi marcatori di formazione e riassorbimento osseo sono risultati predittivi della recidiva specifica dell'osso in pazienti con carcinoma mammario in fase iniziale. </w:t>
      </w:r>
      <w:r w:rsidR="00EE6E5E">
        <w:t xml:space="preserve">E’ noto che </w:t>
      </w:r>
      <w:r w:rsidR="00EE6E5E" w:rsidRPr="00EE6E5E">
        <w:t xml:space="preserve">le terapie adiuvanti possono prevenire </w:t>
      </w:r>
      <w:r w:rsidR="00EE6E5E">
        <w:t xml:space="preserve">e/o </w:t>
      </w:r>
      <w:r w:rsidR="00EE6E5E" w:rsidRPr="00EE6E5E">
        <w:t xml:space="preserve"> ritardare lo sviluppo delle me</w:t>
      </w:r>
      <w:r w:rsidR="00EE6E5E">
        <w:t>tastasi ossee nel tumore mammario</w:t>
      </w:r>
      <w:r w:rsidR="00EE6E5E" w:rsidRPr="00EE6E5E">
        <w:t xml:space="preserve">. </w:t>
      </w:r>
      <w:r w:rsidR="00EE6E5E">
        <w:t xml:space="preserve"> In questa pubblicazione gli Autori hanno</w:t>
      </w:r>
      <w:r w:rsidR="00EE6E5E" w:rsidRPr="00EE6E5E">
        <w:t xml:space="preserve"> studiato se i marcatori del turn</w:t>
      </w:r>
      <w:r w:rsidR="00EE6E5E">
        <w:t>over osseo sierico, nella malattia in fase iniziale,</w:t>
      </w:r>
      <w:r w:rsidR="00EE6E5E" w:rsidRPr="00EE6E5E">
        <w:t xml:space="preserve"> hanno uti</w:t>
      </w:r>
      <w:r w:rsidR="00EE6E5E">
        <w:t>lità clinica nell'identificare le</w:t>
      </w:r>
      <w:r w:rsidR="00EE6E5E" w:rsidRPr="00EE6E5E">
        <w:t xml:space="preserve"> pazienti ad alto rischio di sviluppare metastasi ossee.</w:t>
      </w:r>
    </w:p>
    <w:p w:rsidR="00495F2F" w:rsidRDefault="00495F2F" w:rsidP="00AA08E7">
      <w:pPr>
        <w:spacing w:before="100" w:beforeAutospacing="1" w:after="100" w:afterAutospacing="1" w:line="240" w:lineRule="auto"/>
        <w:contextualSpacing/>
        <w:jc w:val="both"/>
      </w:pPr>
      <w:r>
        <w:t>Gli Autori hanno esaminato tre marcatori in 872 pazienti incluse nello studio AZURE-</w:t>
      </w:r>
      <w:r w:rsidRPr="00495F2F">
        <w:t xml:space="preserve"> </w:t>
      </w:r>
      <w:r w:rsidRPr="00EE6E5E">
        <w:t>ISRCTN79831382</w:t>
      </w:r>
      <w:r>
        <w:t xml:space="preserve"> (che ha confrontato l'acido zoledronico con il trattamento standard rispetto al solo trattamento standard): un marker di formazione dell'osso noto come P1NP (</w:t>
      </w:r>
      <w:proofErr w:type="spellStart"/>
      <w:r>
        <w:t>propeptide</w:t>
      </w:r>
      <w:proofErr w:type="spellEnd"/>
      <w:r>
        <w:t xml:space="preserve"> N-terminale del collagene di tipo 1), e due marcatori di riassorbimento osseo noti come CTX (</w:t>
      </w:r>
      <w:proofErr w:type="spellStart"/>
      <w:r>
        <w:t>telopeptide</w:t>
      </w:r>
      <w:proofErr w:type="spellEnd"/>
      <w:r>
        <w:t xml:space="preserve"> C del collagene di tipo 1) e 1-CTP (</w:t>
      </w:r>
      <w:proofErr w:type="spellStart"/>
      <w:r>
        <w:t>telopeptide</w:t>
      </w:r>
      <w:proofErr w:type="spellEnd"/>
      <w:r>
        <w:t xml:space="preserve"> </w:t>
      </w:r>
      <w:proofErr w:type="spellStart"/>
      <w:r>
        <w:t>carbossi</w:t>
      </w:r>
      <w:proofErr w:type="spellEnd"/>
      <w:r>
        <w:t xml:space="preserve">-terminale reticolata con </w:t>
      </w:r>
      <w:proofErr w:type="spellStart"/>
      <w:r>
        <w:t>piridinolina</w:t>
      </w:r>
      <w:proofErr w:type="spellEnd"/>
      <w:r>
        <w:t xml:space="preserve"> del collagene di tipo 1).</w:t>
      </w:r>
    </w:p>
    <w:p w:rsidR="00EE6E5E" w:rsidRDefault="00EE6E5E" w:rsidP="00495F2F">
      <w:pPr>
        <w:spacing w:before="100" w:beforeAutospacing="1" w:after="100" w:afterAutospacing="1" w:line="240" w:lineRule="auto"/>
      </w:pPr>
      <w:r w:rsidRPr="00EE6E5E">
        <w:t xml:space="preserve"> </w:t>
      </w:r>
      <w:r>
        <w:t>A questo scopo i</w:t>
      </w:r>
      <w:r w:rsidRPr="00EE6E5E">
        <w:t xml:space="preserve"> </w:t>
      </w:r>
      <w:r w:rsidR="00495F2F">
        <w:t xml:space="preserve">tre </w:t>
      </w:r>
      <w:r w:rsidRPr="00EE6E5E">
        <w:t xml:space="preserve">marcatori di formazione dell'osso </w:t>
      </w:r>
      <w:r>
        <w:t xml:space="preserve"> sono stati misurati al momento basale</w:t>
      </w:r>
      <w:r w:rsidRPr="00EE6E5E">
        <w:t xml:space="preserve"> (</w:t>
      </w:r>
      <w:r>
        <w:t xml:space="preserve">su </w:t>
      </w:r>
      <w:r w:rsidRPr="00EE6E5E">
        <w:t xml:space="preserve">campioni di sangue </w:t>
      </w:r>
      <w:proofErr w:type="spellStart"/>
      <w:r w:rsidRPr="00EE6E5E">
        <w:t>pr</w:t>
      </w:r>
      <w:r w:rsidR="00495F2F">
        <w:t>e</w:t>
      </w:r>
      <w:proofErr w:type="spellEnd"/>
      <w:r w:rsidR="00495F2F">
        <w:t>-trattamento delle</w:t>
      </w:r>
      <w:r>
        <w:t xml:space="preserve"> 872 pazienti </w:t>
      </w:r>
      <w:r w:rsidR="00495F2F">
        <w:t xml:space="preserve">con </w:t>
      </w:r>
      <w:r w:rsidRPr="00EE6E5E">
        <w:t>carcinoma mammario in fase iniziale</w:t>
      </w:r>
      <w:r>
        <w:t>.</w:t>
      </w:r>
      <w:r w:rsidRPr="00EE6E5E">
        <w:t xml:space="preserve"> </w:t>
      </w:r>
    </w:p>
    <w:p w:rsidR="00EE6E5E" w:rsidRDefault="00EE6E5E" w:rsidP="00AA08E7">
      <w:pPr>
        <w:spacing w:line="240" w:lineRule="auto"/>
        <w:contextualSpacing/>
        <w:jc w:val="both"/>
      </w:pPr>
      <w:r>
        <w:t>Sono state osservate e studiate</w:t>
      </w:r>
      <w:r w:rsidRPr="00EE6E5E">
        <w:t xml:space="preserve"> le associazioni prognostiche e pre</w:t>
      </w:r>
      <w:r>
        <w:t>dittive tra eventi di ripresa di malattia</w:t>
      </w:r>
      <w:r w:rsidRPr="00EE6E5E">
        <w:t>, livelli di marker ossei e variabili cliniche.</w:t>
      </w:r>
      <w:r>
        <w:t xml:space="preserve"> </w:t>
      </w:r>
    </w:p>
    <w:p w:rsidR="00EE6E5E" w:rsidRDefault="00EE6E5E" w:rsidP="00AA08E7">
      <w:pPr>
        <w:spacing w:line="240" w:lineRule="auto"/>
        <w:contextualSpacing/>
        <w:jc w:val="both"/>
      </w:pPr>
    </w:p>
    <w:p w:rsidR="00BC572D" w:rsidRDefault="00BC572D" w:rsidP="00AA08E7">
      <w:pPr>
        <w:spacing w:line="240" w:lineRule="auto"/>
        <w:contextualSpacing/>
        <w:jc w:val="both"/>
        <w:rPr>
          <w:b/>
        </w:rPr>
      </w:pPr>
      <w:r w:rsidRPr="00BC572D">
        <w:rPr>
          <w:b/>
        </w:rPr>
        <w:t>Principali risultati</w:t>
      </w:r>
    </w:p>
    <w:p w:rsidR="00976D4C" w:rsidRDefault="00495F2F" w:rsidP="00AA08E7">
      <w:pPr>
        <w:spacing w:before="100" w:beforeAutospacing="1" w:after="100" w:afterAutospacing="1" w:line="240" w:lineRule="auto"/>
        <w:contextualSpacing/>
        <w:jc w:val="both"/>
      </w:pPr>
      <w:r>
        <w:t xml:space="preserve">Per P1NP, il 27,3% della coorte aveva livelli basali superiori all'intervallo normale (&gt; 70 </w:t>
      </w:r>
      <w:proofErr w:type="spellStart"/>
      <w:r>
        <w:t>ng</w:t>
      </w:r>
      <w:proofErr w:type="spellEnd"/>
      <w:r>
        <w:t xml:space="preserve"> / </w:t>
      </w:r>
      <w:proofErr w:type="spellStart"/>
      <w:r>
        <w:t>mL</w:t>
      </w:r>
      <w:proofErr w:type="spellEnd"/>
      <w:r>
        <w:t xml:space="preserve">). </w:t>
      </w:r>
    </w:p>
    <w:p w:rsidR="00976D4C" w:rsidRDefault="00495F2F" w:rsidP="00AA08E7">
      <w:pPr>
        <w:spacing w:before="100" w:beforeAutospacing="1" w:after="100" w:afterAutospacing="1" w:line="240" w:lineRule="auto"/>
        <w:contextualSpacing/>
        <w:jc w:val="both"/>
      </w:pPr>
      <w:r>
        <w:t xml:space="preserve">Per CTX, il 30,0% dei pazienti era sopra il normale (&gt; 0,299 </w:t>
      </w:r>
      <w:proofErr w:type="spellStart"/>
      <w:r>
        <w:t>ng</w:t>
      </w:r>
      <w:proofErr w:type="spellEnd"/>
      <w:r>
        <w:t xml:space="preserve"> / </w:t>
      </w:r>
      <w:proofErr w:type="spellStart"/>
      <w:r>
        <w:t>mL</w:t>
      </w:r>
      <w:proofErr w:type="spellEnd"/>
      <w:r>
        <w:t xml:space="preserve">), e </w:t>
      </w:r>
    </w:p>
    <w:p w:rsidR="00976D4C" w:rsidRDefault="00976D4C" w:rsidP="00AA08E7">
      <w:pPr>
        <w:spacing w:before="100" w:beforeAutospacing="1" w:after="100" w:afterAutospacing="1" w:line="240" w:lineRule="auto"/>
        <w:contextualSpacing/>
        <w:jc w:val="both"/>
      </w:pPr>
      <w:r>
        <w:t>P</w:t>
      </w:r>
      <w:r w:rsidR="00495F2F">
        <w:t xml:space="preserve">er 1-CTP, il 50,5% era sopra il normale (&gt; 4,2 </w:t>
      </w:r>
      <w:proofErr w:type="spellStart"/>
      <w:r w:rsidR="00495F2F">
        <w:t>ng</w:t>
      </w:r>
      <w:proofErr w:type="spellEnd"/>
      <w:r w:rsidR="00495F2F">
        <w:t xml:space="preserve"> / </w:t>
      </w:r>
      <w:proofErr w:type="spellStart"/>
      <w:r w:rsidR="00495F2F">
        <w:t>mL</w:t>
      </w:r>
      <w:proofErr w:type="spellEnd"/>
      <w:r w:rsidR="00495F2F">
        <w:t xml:space="preserve">). </w:t>
      </w:r>
    </w:p>
    <w:p w:rsidR="00976D4C" w:rsidRDefault="00495F2F" w:rsidP="00AA08E7">
      <w:pPr>
        <w:spacing w:before="100" w:beforeAutospacing="1" w:after="100" w:afterAutospacing="1" w:line="240" w:lineRule="auto"/>
        <w:contextualSpacing/>
        <w:jc w:val="both"/>
      </w:pPr>
      <w:r>
        <w:t xml:space="preserve">Quando i marcatori erano considerati </w:t>
      </w:r>
      <w:r w:rsidR="00976D4C">
        <w:t xml:space="preserve">come </w:t>
      </w:r>
      <w:r>
        <w:t xml:space="preserve">variabili continue, tutti e tre erano significativamente associati </w:t>
      </w:r>
      <w:proofErr w:type="spellStart"/>
      <w:r w:rsidR="00976D4C">
        <w:t>prognosticamente</w:t>
      </w:r>
      <w:proofErr w:type="spellEnd"/>
      <w:r w:rsidR="00976D4C">
        <w:t xml:space="preserve"> </w:t>
      </w:r>
      <w:r>
        <w:t>all'aumento del rischio di recidiva ossea in qualsiasi momento.</w:t>
      </w:r>
      <w:r w:rsidR="00976D4C">
        <w:t xml:space="preserve">  </w:t>
      </w:r>
      <w:r w:rsidR="00976D4C" w:rsidRPr="00EE6E5E">
        <w:t>Nessuno dei marcatori er</w:t>
      </w:r>
      <w:r w:rsidR="00976D4C">
        <w:t>a prognostico per la recidiva globale a distanza</w:t>
      </w:r>
      <w:r w:rsidR="00976D4C" w:rsidRPr="00EE6E5E">
        <w:t xml:space="preserve">; </w:t>
      </w:r>
      <w:r w:rsidR="00976D4C">
        <w:t xml:space="preserve"> cioè </w:t>
      </w:r>
      <w:r w:rsidR="00976D4C" w:rsidRPr="00EE6E5E">
        <w:t>erano</w:t>
      </w:r>
      <w:r w:rsidR="00976D4C">
        <w:t xml:space="preserve"> specifici per</w:t>
      </w:r>
      <w:r w:rsidR="00976D4C" w:rsidRPr="00EE6E5E">
        <w:t xml:space="preserve"> metastasi ossee </w:t>
      </w:r>
      <w:r w:rsidR="00976D4C">
        <w:t>tuttavia</w:t>
      </w:r>
      <w:r w:rsidR="00976D4C" w:rsidRPr="00EE6E5E">
        <w:t xml:space="preserve"> nessuno</w:t>
      </w:r>
      <w:r w:rsidR="00976D4C">
        <w:t xml:space="preserve"> dei marcatori era predittivo di</w:t>
      </w:r>
      <w:r w:rsidR="00976D4C" w:rsidRPr="00EE6E5E">
        <w:t xml:space="preserve"> beneficio </w:t>
      </w:r>
      <w:r w:rsidR="00976D4C">
        <w:t xml:space="preserve">legato al trattamento con </w:t>
      </w:r>
      <w:r w:rsidR="00976D4C" w:rsidRPr="00EE6E5E">
        <w:t xml:space="preserve">acido zoledronico. </w:t>
      </w:r>
    </w:p>
    <w:p w:rsidR="00495F2F" w:rsidRDefault="00495F2F" w:rsidP="00AA08E7">
      <w:pPr>
        <w:spacing w:before="100" w:beforeAutospacing="1" w:after="100" w:afterAutospacing="1" w:line="240" w:lineRule="auto"/>
        <w:contextualSpacing/>
        <w:jc w:val="both"/>
      </w:pPr>
      <w:r>
        <w:t>Per P1NP, il rapporto di rischio trasformato log (HR) era 4,11 (IC 95%, 1,48-11,36; P = 0,006). Per CTX, l'HR era 1.58 (IC 95%, 1.12-2.24; P = .009), e per 1-CTP era 2.18 (IC 95%, 1.23-3.88; P = .008). Non c'era alcuna associazione significativa con la prima recidiva a distanza in qualsiasi sito, ma l'associazione era significativa per P1NP e 1-CTP per la prima recidiva nell'osso.</w:t>
      </w:r>
    </w:p>
    <w:p w:rsidR="00495F2F" w:rsidRDefault="00976D4C" w:rsidP="00AA08E7">
      <w:pPr>
        <w:spacing w:line="240" w:lineRule="auto"/>
        <w:contextualSpacing/>
        <w:jc w:val="both"/>
      </w:pPr>
      <w:r>
        <w:t xml:space="preserve">In conclusione il dosaggio serico dei marcatori </w:t>
      </w:r>
      <w:r w:rsidRPr="00EE6E5E">
        <w:t xml:space="preserve"> P1NP, CTX e 1-CTP </w:t>
      </w:r>
      <w:r>
        <w:t xml:space="preserve">è </w:t>
      </w:r>
      <w:r w:rsidRPr="00EE6E5E">
        <w:t>clinicame</w:t>
      </w:r>
      <w:r>
        <w:t>nte utili, facilmente misurabile e correlabile ad</w:t>
      </w:r>
      <w:r w:rsidRPr="00EE6E5E">
        <w:t xml:space="preserve"> una buona capacità prognostica (sebbene di discriminazione da b</w:t>
      </w:r>
      <w:r>
        <w:t>assa a moderata) per la</w:t>
      </w:r>
      <w:r w:rsidRPr="00EE6E5E">
        <w:t xml:space="preserve"> specifica </w:t>
      </w:r>
      <w:r>
        <w:t xml:space="preserve">metastasi </w:t>
      </w:r>
      <w:r w:rsidRPr="00EE6E5E">
        <w:t>dell'oss</w:t>
      </w:r>
      <w:r>
        <w:t xml:space="preserve">o. </w:t>
      </w:r>
      <w:r w:rsidRPr="00EE6E5E">
        <w:t xml:space="preserve"> e sono degni di ulteriori studi.</w:t>
      </w:r>
    </w:p>
    <w:p w:rsidR="00C869DB" w:rsidRPr="00BC572D" w:rsidRDefault="00C869DB" w:rsidP="00AA08E7">
      <w:pPr>
        <w:spacing w:line="240" w:lineRule="auto"/>
        <w:contextualSpacing/>
        <w:jc w:val="both"/>
        <w:rPr>
          <w:b/>
        </w:rPr>
      </w:pPr>
    </w:p>
    <w:p w:rsidR="00495F2F" w:rsidRPr="00495F2F" w:rsidRDefault="00495F2F" w:rsidP="00AA08E7">
      <w:pPr>
        <w:spacing w:line="240" w:lineRule="auto"/>
        <w:contextualSpacing/>
        <w:jc w:val="both"/>
        <w:rPr>
          <w:b/>
        </w:rPr>
      </w:pPr>
      <w:r w:rsidRPr="00495F2F">
        <w:rPr>
          <w:b/>
        </w:rPr>
        <w:t>Interpretazione e prospettive</w:t>
      </w:r>
    </w:p>
    <w:p w:rsidR="00495F2F" w:rsidRDefault="00495F2F" w:rsidP="00AA08E7">
      <w:pPr>
        <w:spacing w:before="100" w:beforeAutospacing="1" w:after="100" w:afterAutospacing="1" w:line="240" w:lineRule="auto"/>
        <w:contextualSpacing/>
        <w:jc w:val="both"/>
      </w:pPr>
      <w:r>
        <w:t>Le metastasi ossee  colpiscono più dei due terzi dei pazienti con malattia avanzata. Le cellule del cancro mammario possono rimanere dormienti per molti anni nel microambiente osseo, sfuggendo agli effetti delle terapie sistemiche adiuvanti e conservando il potenziale per l'attivazione e la proliferazione future, con conseguente metastasi nelle ossa e / o in altri siti distanti".</w:t>
      </w:r>
    </w:p>
    <w:p w:rsidR="00495F2F" w:rsidRDefault="00495F2F" w:rsidP="00AA08E7">
      <w:pPr>
        <w:spacing w:before="100" w:beforeAutospacing="1" w:after="100" w:afterAutospacing="1" w:line="240" w:lineRule="auto"/>
        <w:contextualSpacing/>
        <w:jc w:val="both"/>
      </w:pPr>
      <w:r>
        <w:t>L'importanza dei marcatori del turnover osseo è stata stabilita in pazienti in cui erano già presenti metastasi ossee, ma la loro utilità nella malattia precoce non era stata osservata in precedenza.</w:t>
      </w:r>
    </w:p>
    <w:p w:rsidR="00976D4C" w:rsidRDefault="00976D4C" w:rsidP="00AA08E7">
      <w:pPr>
        <w:spacing w:before="100" w:beforeAutospacing="1" w:after="100" w:afterAutospacing="1" w:line="240" w:lineRule="auto"/>
        <w:contextualSpacing/>
        <w:jc w:val="both"/>
      </w:pPr>
      <w:r>
        <w:t xml:space="preserve">L'uso di valori "alti" e "bassi" attorno ai limiti per il </w:t>
      </w:r>
      <w:proofErr w:type="spellStart"/>
      <w:r>
        <w:t>range</w:t>
      </w:r>
      <w:proofErr w:type="spellEnd"/>
      <w:r>
        <w:t xml:space="preserve"> normale ha mostrato che due dei tre indicatori, </w:t>
      </w:r>
      <w:r w:rsidRPr="00EE6E5E">
        <w:t>P1NP, CTX</w:t>
      </w:r>
      <w:r>
        <w:t xml:space="preserve"> erano predittivi mentre l'associazione non era significativa per 1-CTP alta.</w:t>
      </w:r>
    </w:p>
    <w:p w:rsidR="00E07807" w:rsidRDefault="00E07807" w:rsidP="00AA08E7">
      <w:pPr>
        <w:spacing w:before="100" w:beforeAutospacing="1" w:after="100" w:afterAutospacing="1" w:line="240" w:lineRule="auto"/>
        <w:contextualSpacing/>
        <w:jc w:val="both"/>
      </w:pPr>
      <w:r>
        <w:lastRenderedPageBreak/>
        <w:t>Lo</w:t>
      </w:r>
      <w:r w:rsidRPr="00E07807">
        <w:t xml:space="preserve"> studio ha dimostrato che i pazienti con alti livelli sierici di P1NP, CTX o 1-CTP poco dopo la diagnosi di carcinoma mammario in fase iniziale erano associati ad un rischio più elevato di sviluppare metastasi ossee nel corso della loro malattia. P1NP sembrava essere il più sensibile dei marcatori </w:t>
      </w:r>
      <w:proofErr w:type="spellStart"/>
      <w:r w:rsidRPr="00E07807">
        <w:t>studiat</w:t>
      </w:r>
      <w:proofErr w:type="spellEnd"/>
      <w:r>
        <w:t>.</w:t>
      </w:r>
    </w:p>
    <w:p w:rsidR="00976D4C" w:rsidRDefault="00976D4C" w:rsidP="00AA08E7">
      <w:pPr>
        <w:spacing w:before="100" w:beforeAutospacing="1" w:after="100" w:afterAutospacing="1" w:line="240" w:lineRule="auto"/>
        <w:contextualSpacing/>
        <w:jc w:val="both"/>
      </w:pPr>
      <w:r>
        <w:t xml:space="preserve">Gli autori hanno anche notato che i valori dei marcatori ossei aumentavano progressivamente man mano che la menopausa progrediva nelle pazienti, riflettendo modelli ben stabiliti.  Hanno comunque concluso che “i </w:t>
      </w:r>
      <w:proofErr w:type="spellStart"/>
      <w:r>
        <w:t>markers</w:t>
      </w:r>
      <w:proofErr w:type="spellEnd"/>
      <w:r>
        <w:t xml:space="preserve"> di turnover osseo sono facilmente misurabili e meritevoli di ulteriori indagini".</w:t>
      </w:r>
    </w:p>
    <w:p w:rsidR="004E3B9D" w:rsidRDefault="004E3B9D" w:rsidP="00AA08E7">
      <w:pPr>
        <w:spacing w:before="100" w:beforeAutospacing="1" w:after="100" w:afterAutospacing="1" w:line="240" w:lineRule="auto"/>
        <w:contextualSpacing/>
        <w:jc w:val="both"/>
      </w:pPr>
    </w:p>
    <w:p w:rsidR="004E3B9D" w:rsidRDefault="004E3B9D" w:rsidP="00AA08E7">
      <w:pPr>
        <w:spacing w:before="100" w:beforeAutospacing="1" w:after="100" w:afterAutospacing="1" w:line="240" w:lineRule="auto"/>
        <w:contextualSpacing/>
        <w:jc w:val="both"/>
      </w:pPr>
    </w:p>
    <w:p w:rsidR="004E3B9D" w:rsidRDefault="004E3B9D" w:rsidP="00AA08E7">
      <w:pPr>
        <w:spacing w:before="100" w:beforeAutospacing="1" w:after="100" w:afterAutospacing="1" w:line="240" w:lineRule="auto"/>
        <w:contextualSpacing/>
        <w:jc w:val="both"/>
      </w:pPr>
    </w:p>
    <w:p w:rsidR="004E3B9D" w:rsidRDefault="004E3B9D" w:rsidP="00AA08E7">
      <w:pPr>
        <w:spacing w:before="100" w:beforeAutospacing="1" w:after="100" w:afterAutospacing="1" w:line="240" w:lineRule="auto"/>
        <w:contextualSpacing/>
        <w:jc w:val="both"/>
      </w:pPr>
    </w:p>
    <w:p w:rsidR="00C869DB" w:rsidRDefault="00C869DB" w:rsidP="00AA08E7">
      <w:pPr>
        <w:pBdr>
          <w:bottom w:val="single" w:sz="12" w:space="1" w:color="auto"/>
        </w:pBdr>
        <w:spacing w:before="100" w:beforeAutospacing="1" w:after="100" w:afterAutospacing="1" w:line="240" w:lineRule="auto"/>
        <w:contextualSpacing/>
        <w:jc w:val="both"/>
      </w:pPr>
    </w:p>
    <w:p w:rsidR="00C869DB" w:rsidRDefault="00C869DB" w:rsidP="00AA08E7">
      <w:pPr>
        <w:spacing w:before="100" w:beforeAutospacing="1" w:after="100" w:afterAutospacing="1" w:line="240" w:lineRule="auto"/>
        <w:contextualSpacing/>
        <w:jc w:val="both"/>
      </w:pPr>
    </w:p>
    <w:p w:rsidR="00C869DB" w:rsidRDefault="00C869DB" w:rsidP="00C869DB">
      <w:pPr>
        <w:shd w:val="clear" w:color="auto" w:fill="FFFFFF"/>
        <w:spacing w:before="120" w:after="120" w:line="240" w:lineRule="auto"/>
        <w:contextualSpacing/>
        <w:outlineLvl w:val="0"/>
        <w:rPr>
          <w:rFonts w:eastAsia="Times New Roman" w:cstheme="minorHAnsi"/>
          <w:b/>
          <w:bCs/>
          <w:kern w:val="36"/>
          <w:sz w:val="24"/>
          <w:szCs w:val="24"/>
          <w:lang w:eastAsia="it-IT"/>
        </w:rPr>
      </w:pPr>
      <w:proofErr w:type="spellStart"/>
      <w:r w:rsidRPr="00C869DB">
        <w:rPr>
          <w:rFonts w:eastAsia="Times New Roman" w:cstheme="minorHAnsi"/>
          <w:b/>
          <w:bCs/>
          <w:kern w:val="36"/>
          <w:sz w:val="24"/>
          <w:szCs w:val="24"/>
          <w:lang w:eastAsia="it-IT"/>
        </w:rPr>
        <w:t>Enzalutamide</w:t>
      </w:r>
      <w:proofErr w:type="spellEnd"/>
      <w:r w:rsidRPr="00C869DB">
        <w:rPr>
          <w:rFonts w:eastAsia="Times New Roman" w:cstheme="minorHAnsi"/>
          <w:b/>
          <w:bCs/>
          <w:kern w:val="36"/>
          <w:sz w:val="24"/>
          <w:szCs w:val="24"/>
          <w:lang w:eastAsia="it-IT"/>
        </w:rPr>
        <w:t xml:space="preserve"> for the Treatment of </w:t>
      </w:r>
      <w:proofErr w:type="spellStart"/>
      <w:r w:rsidRPr="00C869DB">
        <w:rPr>
          <w:rFonts w:eastAsia="Times New Roman" w:cstheme="minorHAnsi"/>
          <w:b/>
          <w:bCs/>
          <w:kern w:val="36"/>
          <w:sz w:val="24"/>
          <w:szCs w:val="24"/>
          <w:lang w:eastAsia="it-IT"/>
        </w:rPr>
        <w:t>Androgen</w:t>
      </w:r>
      <w:proofErr w:type="spellEnd"/>
      <w:r w:rsidRPr="00C869DB">
        <w:rPr>
          <w:rFonts w:eastAsia="Times New Roman" w:cstheme="minorHAnsi"/>
          <w:b/>
          <w:bCs/>
          <w:kern w:val="36"/>
          <w:sz w:val="24"/>
          <w:szCs w:val="24"/>
          <w:lang w:eastAsia="it-IT"/>
        </w:rPr>
        <w:t xml:space="preserve"> </w:t>
      </w:r>
      <w:proofErr w:type="spellStart"/>
      <w:r w:rsidRPr="00C869DB">
        <w:rPr>
          <w:rFonts w:eastAsia="Times New Roman" w:cstheme="minorHAnsi"/>
          <w:b/>
          <w:bCs/>
          <w:kern w:val="36"/>
          <w:sz w:val="24"/>
          <w:szCs w:val="24"/>
          <w:lang w:eastAsia="it-IT"/>
        </w:rPr>
        <w:t>Receptor-Expressing</w:t>
      </w:r>
      <w:proofErr w:type="spellEnd"/>
      <w:r w:rsidRPr="00C869DB">
        <w:rPr>
          <w:rFonts w:eastAsia="Times New Roman" w:cstheme="minorHAnsi"/>
          <w:b/>
          <w:bCs/>
          <w:kern w:val="36"/>
          <w:sz w:val="24"/>
          <w:szCs w:val="24"/>
          <w:lang w:eastAsia="it-IT"/>
        </w:rPr>
        <w:t xml:space="preserve"> Triple-Negative </w:t>
      </w:r>
      <w:proofErr w:type="spellStart"/>
      <w:r w:rsidRPr="00C869DB">
        <w:rPr>
          <w:rFonts w:eastAsia="Times New Roman" w:cstheme="minorHAnsi"/>
          <w:b/>
          <w:bCs/>
          <w:kern w:val="36"/>
          <w:sz w:val="24"/>
          <w:szCs w:val="24"/>
          <w:lang w:eastAsia="it-IT"/>
        </w:rPr>
        <w:t>Breast</w:t>
      </w:r>
      <w:proofErr w:type="spellEnd"/>
      <w:r w:rsidRPr="00C869DB">
        <w:rPr>
          <w:rFonts w:eastAsia="Times New Roman" w:cstheme="minorHAnsi"/>
          <w:b/>
          <w:bCs/>
          <w:kern w:val="36"/>
          <w:sz w:val="24"/>
          <w:szCs w:val="24"/>
          <w:lang w:eastAsia="it-IT"/>
        </w:rPr>
        <w:t xml:space="preserve"> </w:t>
      </w:r>
      <w:proofErr w:type="spellStart"/>
      <w:r w:rsidRPr="00C869DB">
        <w:rPr>
          <w:rFonts w:eastAsia="Times New Roman" w:cstheme="minorHAnsi"/>
          <w:b/>
          <w:bCs/>
          <w:kern w:val="36"/>
          <w:sz w:val="24"/>
          <w:szCs w:val="24"/>
          <w:lang w:eastAsia="it-IT"/>
        </w:rPr>
        <w:t>Cancer</w:t>
      </w:r>
      <w:proofErr w:type="spellEnd"/>
      <w:r w:rsidRPr="00C869DB">
        <w:rPr>
          <w:rFonts w:eastAsia="Times New Roman" w:cstheme="minorHAnsi"/>
          <w:b/>
          <w:bCs/>
          <w:kern w:val="36"/>
          <w:sz w:val="24"/>
          <w:szCs w:val="24"/>
          <w:lang w:eastAsia="it-IT"/>
        </w:rPr>
        <w:t xml:space="preserve">. </w:t>
      </w:r>
      <w:r>
        <w:rPr>
          <w:rFonts w:eastAsia="Times New Roman" w:cstheme="minorHAnsi"/>
          <w:b/>
          <w:bCs/>
          <w:kern w:val="36"/>
          <w:sz w:val="24"/>
          <w:szCs w:val="24"/>
          <w:lang w:eastAsia="it-IT"/>
        </w:rPr>
        <w:t xml:space="preserve"> </w:t>
      </w:r>
    </w:p>
    <w:p w:rsidR="00C869DB" w:rsidRPr="00C869DB" w:rsidRDefault="004E3B9D" w:rsidP="00C869DB">
      <w:pPr>
        <w:shd w:val="clear" w:color="auto" w:fill="FFFFFF"/>
        <w:spacing w:before="120" w:after="120" w:line="240" w:lineRule="auto"/>
        <w:contextualSpacing/>
        <w:outlineLvl w:val="0"/>
        <w:rPr>
          <w:rFonts w:eastAsia="Times New Roman" w:cstheme="minorHAnsi"/>
          <w:i/>
          <w:sz w:val="24"/>
          <w:szCs w:val="24"/>
          <w:lang w:eastAsia="it-IT"/>
        </w:rPr>
      </w:pPr>
      <w:hyperlink r:id="rId11" w:history="1">
        <w:r w:rsidR="00C869DB" w:rsidRPr="00C869DB">
          <w:rPr>
            <w:rFonts w:eastAsia="Times New Roman" w:cstheme="minorHAnsi"/>
            <w:i/>
            <w:sz w:val="24"/>
            <w:szCs w:val="24"/>
            <w:lang w:eastAsia="it-IT"/>
          </w:rPr>
          <w:t>Traina TA</w:t>
        </w:r>
      </w:hyperlink>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hyperlink r:id="rId12" w:history="1">
        <w:r w:rsidR="00C869DB" w:rsidRPr="00C869DB">
          <w:rPr>
            <w:rFonts w:eastAsia="Times New Roman" w:cstheme="minorHAnsi"/>
            <w:i/>
            <w:sz w:val="24"/>
            <w:szCs w:val="24"/>
            <w:lang w:eastAsia="it-IT"/>
          </w:rPr>
          <w:t>Miller K</w:t>
        </w:r>
      </w:hyperlink>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proofErr w:type="spellStart"/>
      <w:r w:rsidR="00C869DB" w:rsidRPr="00C869DB">
        <w:rPr>
          <w:rFonts w:cstheme="minorHAnsi"/>
          <w:i/>
          <w:sz w:val="24"/>
          <w:szCs w:val="24"/>
        </w:rPr>
        <w:fldChar w:fldCharType="begin"/>
      </w:r>
      <w:r w:rsidR="00C869DB" w:rsidRPr="00C869DB">
        <w:rPr>
          <w:rFonts w:cstheme="minorHAnsi"/>
          <w:i/>
          <w:sz w:val="24"/>
          <w:szCs w:val="24"/>
        </w:rPr>
        <w:instrText xml:space="preserve"> HYPERLINK "https://www.ncbi.nlm.nih.gov/pubmed/?term=Yardley%20DA%5BAuthor%5D&amp;cauthor=true&amp;cauthor_uid=29373071" </w:instrText>
      </w:r>
      <w:r w:rsidR="00C869DB" w:rsidRPr="00C869DB">
        <w:rPr>
          <w:rFonts w:cstheme="minorHAnsi"/>
          <w:i/>
          <w:sz w:val="24"/>
          <w:szCs w:val="24"/>
        </w:rPr>
        <w:fldChar w:fldCharType="separate"/>
      </w:r>
      <w:r w:rsidR="00C869DB" w:rsidRPr="00C869DB">
        <w:rPr>
          <w:rFonts w:eastAsia="Times New Roman" w:cstheme="minorHAnsi"/>
          <w:i/>
          <w:sz w:val="24"/>
          <w:szCs w:val="24"/>
          <w:lang w:eastAsia="it-IT"/>
        </w:rPr>
        <w:t>Yardley</w:t>
      </w:r>
      <w:proofErr w:type="spellEnd"/>
      <w:r w:rsidR="00C869DB" w:rsidRPr="00C869DB">
        <w:rPr>
          <w:rFonts w:eastAsia="Times New Roman" w:cstheme="minorHAnsi"/>
          <w:i/>
          <w:sz w:val="24"/>
          <w:szCs w:val="24"/>
          <w:lang w:eastAsia="it-IT"/>
        </w:rPr>
        <w:t xml:space="preserve"> DA</w:t>
      </w:r>
      <w:r w:rsidR="00C869DB" w:rsidRPr="00C869DB">
        <w:rPr>
          <w:rFonts w:eastAsia="Times New Roman" w:cstheme="minorHAnsi"/>
          <w:i/>
          <w:sz w:val="24"/>
          <w:szCs w:val="24"/>
          <w:lang w:eastAsia="it-IT"/>
        </w:rPr>
        <w:fldChar w:fldCharType="end"/>
      </w:r>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proofErr w:type="spellStart"/>
      <w:r w:rsidR="00C869DB" w:rsidRPr="00C869DB">
        <w:rPr>
          <w:rFonts w:cstheme="minorHAnsi"/>
          <w:i/>
          <w:sz w:val="24"/>
          <w:szCs w:val="24"/>
        </w:rPr>
        <w:fldChar w:fldCharType="begin"/>
      </w:r>
      <w:r w:rsidR="00C869DB" w:rsidRPr="00C869DB">
        <w:rPr>
          <w:rFonts w:cstheme="minorHAnsi"/>
          <w:i/>
          <w:sz w:val="24"/>
          <w:szCs w:val="24"/>
        </w:rPr>
        <w:instrText xml:space="preserve"> HYPERLINK "https://www.ncbi.nlm.nih.gov/pubmed/?term=Eakle%20J%5BAuthor%5D&amp;cauthor=true&amp;cauthor_uid=29373071" </w:instrText>
      </w:r>
      <w:r w:rsidR="00C869DB" w:rsidRPr="00C869DB">
        <w:rPr>
          <w:rFonts w:cstheme="minorHAnsi"/>
          <w:i/>
          <w:sz w:val="24"/>
          <w:szCs w:val="24"/>
        </w:rPr>
        <w:fldChar w:fldCharType="separate"/>
      </w:r>
      <w:r w:rsidR="00C869DB" w:rsidRPr="00C869DB">
        <w:rPr>
          <w:rFonts w:eastAsia="Times New Roman" w:cstheme="minorHAnsi"/>
          <w:i/>
          <w:sz w:val="24"/>
          <w:szCs w:val="24"/>
          <w:lang w:eastAsia="it-IT"/>
        </w:rPr>
        <w:t>Eakle</w:t>
      </w:r>
      <w:proofErr w:type="spellEnd"/>
      <w:r w:rsidR="00C869DB" w:rsidRPr="00C869DB">
        <w:rPr>
          <w:rFonts w:eastAsia="Times New Roman" w:cstheme="minorHAnsi"/>
          <w:i/>
          <w:sz w:val="24"/>
          <w:szCs w:val="24"/>
          <w:lang w:eastAsia="it-IT"/>
        </w:rPr>
        <w:t xml:space="preserve"> J</w:t>
      </w:r>
      <w:r w:rsidR="00C869DB" w:rsidRPr="00C869DB">
        <w:rPr>
          <w:rFonts w:eastAsia="Times New Roman" w:cstheme="minorHAnsi"/>
          <w:i/>
          <w:sz w:val="24"/>
          <w:szCs w:val="24"/>
          <w:lang w:eastAsia="it-IT"/>
        </w:rPr>
        <w:fldChar w:fldCharType="end"/>
      </w:r>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proofErr w:type="spellStart"/>
      <w:r w:rsidR="00C869DB" w:rsidRPr="00C869DB">
        <w:rPr>
          <w:rFonts w:cstheme="minorHAnsi"/>
          <w:i/>
          <w:sz w:val="24"/>
          <w:szCs w:val="24"/>
        </w:rPr>
        <w:fldChar w:fldCharType="begin"/>
      </w:r>
      <w:r w:rsidR="00C869DB" w:rsidRPr="00C869DB">
        <w:rPr>
          <w:rFonts w:cstheme="minorHAnsi"/>
          <w:i/>
          <w:sz w:val="24"/>
          <w:szCs w:val="24"/>
        </w:rPr>
        <w:instrText xml:space="preserve"> HYPERLINK "https://www.ncbi.nlm.nih.gov/pubmed/?term=Schwartzberg%20LS%5BAuthor%5D&amp;cauthor=true&amp;cauthor_uid=29373071" </w:instrText>
      </w:r>
      <w:r w:rsidR="00C869DB" w:rsidRPr="00C869DB">
        <w:rPr>
          <w:rFonts w:cstheme="minorHAnsi"/>
          <w:i/>
          <w:sz w:val="24"/>
          <w:szCs w:val="24"/>
        </w:rPr>
        <w:fldChar w:fldCharType="separate"/>
      </w:r>
      <w:r w:rsidR="00C869DB" w:rsidRPr="00C869DB">
        <w:rPr>
          <w:rFonts w:eastAsia="Times New Roman" w:cstheme="minorHAnsi"/>
          <w:i/>
          <w:sz w:val="24"/>
          <w:szCs w:val="24"/>
          <w:lang w:eastAsia="it-IT"/>
        </w:rPr>
        <w:t>Schwartzberg</w:t>
      </w:r>
      <w:proofErr w:type="spellEnd"/>
      <w:r w:rsidR="00C869DB" w:rsidRPr="00C869DB">
        <w:rPr>
          <w:rFonts w:eastAsia="Times New Roman" w:cstheme="minorHAnsi"/>
          <w:i/>
          <w:sz w:val="24"/>
          <w:szCs w:val="24"/>
          <w:lang w:eastAsia="it-IT"/>
        </w:rPr>
        <w:t xml:space="preserve"> LS</w:t>
      </w:r>
      <w:r w:rsidR="00C869DB" w:rsidRPr="00C869DB">
        <w:rPr>
          <w:rFonts w:eastAsia="Times New Roman" w:cstheme="minorHAnsi"/>
          <w:i/>
          <w:sz w:val="24"/>
          <w:szCs w:val="24"/>
          <w:lang w:eastAsia="it-IT"/>
        </w:rPr>
        <w:fldChar w:fldCharType="end"/>
      </w:r>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proofErr w:type="spellStart"/>
      <w:r w:rsidR="00C869DB" w:rsidRPr="00C869DB">
        <w:rPr>
          <w:rFonts w:cstheme="minorHAnsi"/>
          <w:i/>
          <w:sz w:val="24"/>
          <w:szCs w:val="24"/>
        </w:rPr>
        <w:fldChar w:fldCharType="begin"/>
      </w:r>
      <w:r w:rsidR="00C869DB" w:rsidRPr="00C869DB">
        <w:rPr>
          <w:rFonts w:cstheme="minorHAnsi"/>
          <w:i/>
          <w:sz w:val="24"/>
          <w:szCs w:val="24"/>
        </w:rPr>
        <w:instrText xml:space="preserve"> HYPERLINK "https://www.ncbi.nlm.nih.gov/pubmed/?term=O%27Shaughnessy%20J%5BAuthor%5D&amp;cauthor=true&amp;cauthor_uid=29373071" </w:instrText>
      </w:r>
      <w:r w:rsidR="00C869DB" w:rsidRPr="00C869DB">
        <w:rPr>
          <w:rFonts w:cstheme="minorHAnsi"/>
          <w:i/>
          <w:sz w:val="24"/>
          <w:szCs w:val="24"/>
        </w:rPr>
        <w:fldChar w:fldCharType="separate"/>
      </w:r>
      <w:r w:rsidR="00C869DB" w:rsidRPr="00C869DB">
        <w:rPr>
          <w:rFonts w:eastAsia="Times New Roman" w:cstheme="minorHAnsi"/>
          <w:i/>
          <w:sz w:val="24"/>
          <w:szCs w:val="24"/>
          <w:lang w:eastAsia="it-IT"/>
        </w:rPr>
        <w:t>O'Shaughnessy</w:t>
      </w:r>
      <w:proofErr w:type="spellEnd"/>
      <w:r w:rsidR="00C869DB" w:rsidRPr="00C869DB">
        <w:rPr>
          <w:rFonts w:eastAsia="Times New Roman" w:cstheme="minorHAnsi"/>
          <w:i/>
          <w:sz w:val="24"/>
          <w:szCs w:val="24"/>
          <w:lang w:eastAsia="it-IT"/>
        </w:rPr>
        <w:t xml:space="preserve"> J</w:t>
      </w:r>
      <w:r w:rsidR="00C869DB" w:rsidRPr="00C869DB">
        <w:rPr>
          <w:rFonts w:eastAsia="Times New Roman" w:cstheme="minorHAnsi"/>
          <w:i/>
          <w:sz w:val="24"/>
          <w:szCs w:val="24"/>
          <w:lang w:eastAsia="it-IT"/>
        </w:rPr>
        <w:fldChar w:fldCharType="end"/>
      </w:r>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proofErr w:type="spellStart"/>
      <w:r w:rsidR="00C869DB" w:rsidRPr="00C869DB">
        <w:rPr>
          <w:rFonts w:cstheme="minorHAnsi"/>
          <w:i/>
          <w:sz w:val="24"/>
          <w:szCs w:val="24"/>
        </w:rPr>
        <w:fldChar w:fldCharType="begin"/>
      </w:r>
      <w:r w:rsidR="00C869DB" w:rsidRPr="00C869DB">
        <w:rPr>
          <w:rFonts w:cstheme="minorHAnsi"/>
          <w:i/>
          <w:sz w:val="24"/>
          <w:szCs w:val="24"/>
        </w:rPr>
        <w:instrText xml:space="preserve"> HYPERLINK "https://www.ncbi.nlm.nih.gov/pubmed/?term=Gradishar%20W%5BAuthor%5D&amp;cauthor=true&amp;cauthor_uid=29373071" </w:instrText>
      </w:r>
      <w:r w:rsidR="00C869DB" w:rsidRPr="00C869DB">
        <w:rPr>
          <w:rFonts w:cstheme="minorHAnsi"/>
          <w:i/>
          <w:sz w:val="24"/>
          <w:szCs w:val="24"/>
        </w:rPr>
        <w:fldChar w:fldCharType="separate"/>
      </w:r>
      <w:r w:rsidR="00C869DB" w:rsidRPr="00C869DB">
        <w:rPr>
          <w:rFonts w:eastAsia="Times New Roman" w:cstheme="minorHAnsi"/>
          <w:i/>
          <w:sz w:val="24"/>
          <w:szCs w:val="24"/>
          <w:lang w:eastAsia="it-IT"/>
        </w:rPr>
        <w:t>Gradishar</w:t>
      </w:r>
      <w:proofErr w:type="spellEnd"/>
      <w:r w:rsidR="00C869DB" w:rsidRPr="00C869DB">
        <w:rPr>
          <w:rFonts w:eastAsia="Times New Roman" w:cstheme="minorHAnsi"/>
          <w:i/>
          <w:sz w:val="24"/>
          <w:szCs w:val="24"/>
          <w:lang w:eastAsia="it-IT"/>
        </w:rPr>
        <w:t xml:space="preserve"> W</w:t>
      </w:r>
      <w:r w:rsidR="00C869DB" w:rsidRPr="00C869DB">
        <w:rPr>
          <w:rFonts w:eastAsia="Times New Roman" w:cstheme="minorHAnsi"/>
          <w:i/>
          <w:sz w:val="24"/>
          <w:szCs w:val="24"/>
          <w:lang w:eastAsia="it-IT"/>
        </w:rPr>
        <w:fldChar w:fldCharType="end"/>
      </w:r>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proofErr w:type="spellStart"/>
      <w:r w:rsidR="00C869DB" w:rsidRPr="00C869DB">
        <w:rPr>
          <w:rFonts w:cstheme="minorHAnsi"/>
          <w:i/>
          <w:sz w:val="24"/>
          <w:szCs w:val="24"/>
        </w:rPr>
        <w:fldChar w:fldCharType="begin"/>
      </w:r>
      <w:r w:rsidR="00C869DB" w:rsidRPr="00C869DB">
        <w:rPr>
          <w:rFonts w:cstheme="minorHAnsi"/>
          <w:i/>
          <w:sz w:val="24"/>
          <w:szCs w:val="24"/>
        </w:rPr>
        <w:instrText xml:space="preserve"> HYPERLINK "https://www.ncbi.nlm.nih.gov/pubmed/?term=Schmid%20P%5BAuthor%5D&amp;cauthor=true&amp;cauthor_uid=29373071" </w:instrText>
      </w:r>
      <w:r w:rsidR="00C869DB" w:rsidRPr="00C869DB">
        <w:rPr>
          <w:rFonts w:cstheme="minorHAnsi"/>
          <w:i/>
          <w:sz w:val="24"/>
          <w:szCs w:val="24"/>
        </w:rPr>
        <w:fldChar w:fldCharType="separate"/>
      </w:r>
      <w:r w:rsidR="00C869DB" w:rsidRPr="00C869DB">
        <w:rPr>
          <w:rFonts w:eastAsia="Times New Roman" w:cstheme="minorHAnsi"/>
          <w:i/>
          <w:sz w:val="24"/>
          <w:szCs w:val="24"/>
          <w:lang w:eastAsia="it-IT"/>
        </w:rPr>
        <w:t>Schmid</w:t>
      </w:r>
      <w:proofErr w:type="spellEnd"/>
      <w:r w:rsidR="00C869DB" w:rsidRPr="00C869DB">
        <w:rPr>
          <w:rFonts w:eastAsia="Times New Roman" w:cstheme="minorHAnsi"/>
          <w:i/>
          <w:sz w:val="24"/>
          <w:szCs w:val="24"/>
          <w:lang w:eastAsia="it-IT"/>
        </w:rPr>
        <w:t xml:space="preserve"> P</w:t>
      </w:r>
      <w:r w:rsidR="00C869DB" w:rsidRPr="00C869DB">
        <w:rPr>
          <w:rFonts w:eastAsia="Times New Roman" w:cstheme="minorHAnsi"/>
          <w:i/>
          <w:sz w:val="24"/>
          <w:szCs w:val="24"/>
          <w:lang w:eastAsia="it-IT"/>
        </w:rPr>
        <w:fldChar w:fldCharType="end"/>
      </w:r>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proofErr w:type="spellStart"/>
      <w:r w:rsidR="00C869DB" w:rsidRPr="00C869DB">
        <w:rPr>
          <w:rFonts w:cstheme="minorHAnsi"/>
          <w:i/>
          <w:sz w:val="24"/>
          <w:szCs w:val="24"/>
        </w:rPr>
        <w:fldChar w:fldCharType="begin"/>
      </w:r>
      <w:r w:rsidR="00C869DB" w:rsidRPr="00C869DB">
        <w:rPr>
          <w:rFonts w:cstheme="minorHAnsi"/>
          <w:i/>
          <w:sz w:val="24"/>
          <w:szCs w:val="24"/>
        </w:rPr>
        <w:instrText xml:space="preserve"> HYPERLINK "https://www.ncbi.nlm.nih.gov/pubmed/?term=Winer%20E%5BAuthor%5D&amp;cauthor=true&amp;cauthor_uid=29373071" </w:instrText>
      </w:r>
      <w:r w:rsidR="00C869DB" w:rsidRPr="00C869DB">
        <w:rPr>
          <w:rFonts w:cstheme="minorHAnsi"/>
          <w:i/>
          <w:sz w:val="24"/>
          <w:szCs w:val="24"/>
        </w:rPr>
        <w:fldChar w:fldCharType="separate"/>
      </w:r>
      <w:r w:rsidR="00C869DB" w:rsidRPr="00C869DB">
        <w:rPr>
          <w:rFonts w:eastAsia="Times New Roman" w:cstheme="minorHAnsi"/>
          <w:i/>
          <w:sz w:val="24"/>
          <w:szCs w:val="24"/>
          <w:lang w:eastAsia="it-IT"/>
        </w:rPr>
        <w:t>Winer</w:t>
      </w:r>
      <w:proofErr w:type="spellEnd"/>
      <w:r w:rsidR="00C869DB" w:rsidRPr="00C869DB">
        <w:rPr>
          <w:rFonts w:eastAsia="Times New Roman" w:cstheme="minorHAnsi"/>
          <w:i/>
          <w:sz w:val="24"/>
          <w:szCs w:val="24"/>
          <w:lang w:eastAsia="it-IT"/>
        </w:rPr>
        <w:t xml:space="preserve"> E</w:t>
      </w:r>
      <w:r w:rsidR="00C869DB" w:rsidRPr="00C869DB">
        <w:rPr>
          <w:rFonts w:eastAsia="Times New Roman" w:cstheme="minorHAnsi"/>
          <w:i/>
          <w:sz w:val="24"/>
          <w:szCs w:val="24"/>
          <w:lang w:eastAsia="it-IT"/>
        </w:rPr>
        <w:fldChar w:fldCharType="end"/>
      </w:r>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hyperlink r:id="rId13" w:history="1">
        <w:r w:rsidR="00C869DB" w:rsidRPr="00C869DB">
          <w:rPr>
            <w:rFonts w:eastAsia="Times New Roman" w:cstheme="minorHAnsi"/>
            <w:i/>
            <w:sz w:val="24"/>
            <w:szCs w:val="24"/>
            <w:lang w:eastAsia="it-IT"/>
          </w:rPr>
          <w:t>Kelly C</w:t>
        </w:r>
      </w:hyperlink>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hyperlink r:id="rId14" w:history="1">
        <w:r w:rsidR="00C869DB" w:rsidRPr="00C869DB">
          <w:rPr>
            <w:rFonts w:eastAsia="Times New Roman" w:cstheme="minorHAnsi"/>
            <w:i/>
            <w:sz w:val="24"/>
            <w:szCs w:val="24"/>
            <w:lang w:eastAsia="it-IT"/>
          </w:rPr>
          <w:t>Nanda R</w:t>
        </w:r>
      </w:hyperlink>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proofErr w:type="spellStart"/>
      <w:r w:rsidR="00C869DB" w:rsidRPr="00C869DB">
        <w:rPr>
          <w:rFonts w:cstheme="minorHAnsi"/>
          <w:i/>
          <w:sz w:val="24"/>
          <w:szCs w:val="24"/>
        </w:rPr>
        <w:fldChar w:fldCharType="begin"/>
      </w:r>
      <w:r w:rsidR="00C869DB" w:rsidRPr="00C869DB">
        <w:rPr>
          <w:rFonts w:cstheme="minorHAnsi"/>
          <w:i/>
          <w:sz w:val="24"/>
          <w:szCs w:val="24"/>
        </w:rPr>
        <w:instrText xml:space="preserve"> HYPERLINK "https://www.ncbi.nlm.nih.gov/pubmed/?term=Gucalp%20A%5BAuthor%5D&amp;cauthor=true&amp;cauthor_uid=29373071" </w:instrText>
      </w:r>
      <w:r w:rsidR="00C869DB" w:rsidRPr="00C869DB">
        <w:rPr>
          <w:rFonts w:cstheme="minorHAnsi"/>
          <w:i/>
          <w:sz w:val="24"/>
          <w:szCs w:val="24"/>
        </w:rPr>
        <w:fldChar w:fldCharType="separate"/>
      </w:r>
      <w:r w:rsidR="00C869DB" w:rsidRPr="00C869DB">
        <w:rPr>
          <w:rFonts w:eastAsia="Times New Roman" w:cstheme="minorHAnsi"/>
          <w:i/>
          <w:sz w:val="24"/>
          <w:szCs w:val="24"/>
          <w:lang w:eastAsia="it-IT"/>
        </w:rPr>
        <w:t>Gucalp</w:t>
      </w:r>
      <w:proofErr w:type="spellEnd"/>
      <w:r w:rsidR="00C869DB" w:rsidRPr="00C869DB">
        <w:rPr>
          <w:rFonts w:eastAsia="Times New Roman" w:cstheme="minorHAnsi"/>
          <w:i/>
          <w:sz w:val="24"/>
          <w:szCs w:val="24"/>
          <w:lang w:eastAsia="it-IT"/>
        </w:rPr>
        <w:t xml:space="preserve"> A</w:t>
      </w:r>
      <w:r w:rsidR="00C869DB" w:rsidRPr="00C869DB">
        <w:rPr>
          <w:rFonts w:eastAsia="Times New Roman" w:cstheme="minorHAnsi"/>
          <w:i/>
          <w:sz w:val="24"/>
          <w:szCs w:val="24"/>
          <w:lang w:eastAsia="it-IT"/>
        </w:rPr>
        <w:fldChar w:fldCharType="end"/>
      </w:r>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proofErr w:type="spellStart"/>
      <w:r w:rsidR="00C869DB" w:rsidRPr="00C869DB">
        <w:rPr>
          <w:rFonts w:cstheme="minorHAnsi"/>
          <w:i/>
          <w:sz w:val="24"/>
          <w:szCs w:val="24"/>
        </w:rPr>
        <w:fldChar w:fldCharType="begin"/>
      </w:r>
      <w:r w:rsidR="00C869DB" w:rsidRPr="00C869DB">
        <w:rPr>
          <w:rFonts w:cstheme="minorHAnsi"/>
          <w:i/>
          <w:sz w:val="24"/>
          <w:szCs w:val="24"/>
        </w:rPr>
        <w:instrText xml:space="preserve"> HYPERLINK "https://www.ncbi.nlm.nih.gov/pubmed/?term=Awada%20A%5BAuthor%5D&amp;cauthor=true&amp;cauthor_uid=29373071" </w:instrText>
      </w:r>
      <w:r w:rsidR="00C869DB" w:rsidRPr="00C869DB">
        <w:rPr>
          <w:rFonts w:cstheme="minorHAnsi"/>
          <w:i/>
          <w:sz w:val="24"/>
          <w:szCs w:val="24"/>
        </w:rPr>
        <w:fldChar w:fldCharType="separate"/>
      </w:r>
      <w:r w:rsidR="00C869DB" w:rsidRPr="00C869DB">
        <w:rPr>
          <w:rFonts w:eastAsia="Times New Roman" w:cstheme="minorHAnsi"/>
          <w:i/>
          <w:sz w:val="24"/>
          <w:szCs w:val="24"/>
          <w:lang w:eastAsia="it-IT"/>
        </w:rPr>
        <w:t>Awada</w:t>
      </w:r>
      <w:proofErr w:type="spellEnd"/>
      <w:r w:rsidR="00C869DB" w:rsidRPr="00C869DB">
        <w:rPr>
          <w:rFonts w:eastAsia="Times New Roman" w:cstheme="minorHAnsi"/>
          <w:i/>
          <w:sz w:val="24"/>
          <w:szCs w:val="24"/>
          <w:lang w:eastAsia="it-IT"/>
        </w:rPr>
        <w:t xml:space="preserve"> A</w:t>
      </w:r>
      <w:r w:rsidR="00C869DB" w:rsidRPr="00C869DB">
        <w:rPr>
          <w:rFonts w:eastAsia="Times New Roman" w:cstheme="minorHAnsi"/>
          <w:i/>
          <w:sz w:val="24"/>
          <w:szCs w:val="24"/>
          <w:lang w:eastAsia="it-IT"/>
        </w:rPr>
        <w:fldChar w:fldCharType="end"/>
      </w:r>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hyperlink r:id="rId15" w:history="1">
        <w:r w:rsidR="00C869DB" w:rsidRPr="00C869DB">
          <w:rPr>
            <w:rFonts w:eastAsia="Times New Roman" w:cstheme="minorHAnsi"/>
            <w:i/>
            <w:sz w:val="24"/>
            <w:szCs w:val="24"/>
            <w:lang w:eastAsia="it-IT"/>
          </w:rPr>
          <w:t>Garcia-</w:t>
        </w:r>
        <w:proofErr w:type="spellStart"/>
        <w:r w:rsidR="00C869DB" w:rsidRPr="00C869DB">
          <w:rPr>
            <w:rFonts w:eastAsia="Times New Roman" w:cstheme="minorHAnsi"/>
            <w:i/>
            <w:sz w:val="24"/>
            <w:szCs w:val="24"/>
            <w:lang w:eastAsia="it-IT"/>
          </w:rPr>
          <w:t>Estevez</w:t>
        </w:r>
        <w:proofErr w:type="spellEnd"/>
        <w:r w:rsidR="00C869DB" w:rsidRPr="00C869DB">
          <w:rPr>
            <w:rFonts w:eastAsia="Times New Roman" w:cstheme="minorHAnsi"/>
            <w:i/>
            <w:sz w:val="24"/>
            <w:szCs w:val="24"/>
            <w:lang w:eastAsia="it-IT"/>
          </w:rPr>
          <w:t xml:space="preserve"> L</w:t>
        </w:r>
      </w:hyperlink>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proofErr w:type="spellStart"/>
      <w:r w:rsidR="00C869DB" w:rsidRPr="00C869DB">
        <w:rPr>
          <w:rFonts w:cstheme="minorHAnsi"/>
          <w:i/>
          <w:sz w:val="24"/>
          <w:szCs w:val="24"/>
        </w:rPr>
        <w:fldChar w:fldCharType="begin"/>
      </w:r>
      <w:r w:rsidR="00C869DB" w:rsidRPr="00C869DB">
        <w:rPr>
          <w:rFonts w:cstheme="minorHAnsi"/>
          <w:i/>
          <w:sz w:val="24"/>
          <w:szCs w:val="24"/>
        </w:rPr>
        <w:instrText xml:space="preserve"> HYPERLINK "https://www.ncbi.nlm.nih.gov/pubmed/?term=Trudeau%20ME%5BAuthor%5D&amp;cauthor=true&amp;cauthor_uid=29373071" </w:instrText>
      </w:r>
      <w:r w:rsidR="00C869DB" w:rsidRPr="00C869DB">
        <w:rPr>
          <w:rFonts w:cstheme="minorHAnsi"/>
          <w:i/>
          <w:sz w:val="24"/>
          <w:szCs w:val="24"/>
        </w:rPr>
        <w:fldChar w:fldCharType="separate"/>
      </w:r>
      <w:r w:rsidR="00C869DB" w:rsidRPr="00C869DB">
        <w:rPr>
          <w:rFonts w:eastAsia="Times New Roman" w:cstheme="minorHAnsi"/>
          <w:i/>
          <w:sz w:val="24"/>
          <w:szCs w:val="24"/>
          <w:lang w:eastAsia="it-IT"/>
        </w:rPr>
        <w:t>Trudeau</w:t>
      </w:r>
      <w:proofErr w:type="spellEnd"/>
      <w:r w:rsidR="00C869DB" w:rsidRPr="00C869DB">
        <w:rPr>
          <w:rFonts w:eastAsia="Times New Roman" w:cstheme="minorHAnsi"/>
          <w:i/>
          <w:sz w:val="24"/>
          <w:szCs w:val="24"/>
          <w:lang w:eastAsia="it-IT"/>
        </w:rPr>
        <w:t xml:space="preserve"> ME</w:t>
      </w:r>
      <w:r w:rsidR="00C869DB" w:rsidRPr="00C869DB">
        <w:rPr>
          <w:rFonts w:eastAsia="Times New Roman" w:cstheme="minorHAnsi"/>
          <w:i/>
          <w:sz w:val="24"/>
          <w:szCs w:val="24"/>
          <w:lang w:eastAsia="it-IT"/>
        </w:rPr>
        <w:fldChar w:fldCharType="end"/>
      </w:r>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proofErr w:type="spellStart"/>
      <w:r w:rsidR="00C869DB" w:rsidRPr="00C869DB">
        <w:rPr>
          <w:rFonts w:cstheme="minorHAnsi"/>
          <w:i/>
          <w:sz w:val="24"/>
          <w:szCs w:val="24"/>
        </w:rPr>
        <w:fldChar w:fldCharType="begin"/>
      </w:r>
      <w:r w:rsidR="00C869DB" w:rsidRPr="00C869DB">
        <w:rPr>
          <w:rFonts w:cstheme="minorHAnsi"/>
          <w:i/>
          <w:sz w:val="24"/>
          <w:szCs w:val="24"/>
        </w:rPr>
        <w:instrText xml:space="preserve"> HYPERLINK "https://www.ncbi.nlm.nih.gov/pubmed/?term=Steinberg%20J%5BAuthor%5D&amp;cauthor=true&amp;cauthor_uid=29373071" </w:instrText>
      </w:r>
      <w:r w:rsidR="00C869DB" w:rsidRPr="00C869DB">
        <w:rPr>
          <w:rFonts w:cstheme="minorHAnsi"/>
          <w:i/>
          <w:sz w:val="24"/>
          <w:szCs w:val="24"/>
        </w:rPr>
        <w:fldChar w:fldCharType="separate"/>
      </w:r>
      <w:r w:rsidR="00C869DB" w:rsidRPr="00C869DB">
        <w:rPr>
          <w:rFonts w:eastAsia="Times New Roman" w:cstheme="minorHAnsi"/>
          <w:i/>
          <w:sz w:val="24"/>
          <w:szCs w:val="24"/>
          <w:lang w:eastAsia="it-IT"/>
        </w:rPr>
        <w:t>Steinberg</w:t>
      </w:r>
      <w:proofErr w:type="spellEnd"/>
      <w:r w:rsidR="00C869DB" w:rsidRPr="00C869DB">
        <w:rPr>
          <w:rFonts w:eastAsia="Times New Roman" w:cstheme="minorHAnsi"/>
          <w:i/>
          <w:sz w:val="24"/>
          <w:szCs w:val="24"/>
          <w:lang w:eastAsia="it-IT"/>
        </w:rPr>
        <w:t xml:space="preserve"> J</w:t>
      </w:r>
      <w:r w:rsidR="00C869DB" w:rsidRPr="00C869DB">
        <w:rPr>
          <w:rFonts w:eastAsia="Times New Roman" w:cstheme="minorHAnsi"/>
          <w:i/>
          <w:sz w:val="24"/>
          <w:szCs w:val="24"/>
          <w:lang w:eastAsia="it-IT"/>
        </w:rPr>
        <w:fldChar w:fldCharType="end"/>
      </w:r>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proofErr w:type="spellStart"/>
      <w:r w:rsidR="00C869DB" w:rsidRPr="00C869DB">
        <w:rPr>
          <w:rFonts w:cstheme="minorHAnsi"/>
          <w:i/>
          <w:sz w:val="24"/>
          <w:szCs w:val="24"/>
        </w:rPr>
        <w:fldChar w:fldCharType="begin"/>
      </w:r>
      <w:r w:rsidR="00C869DB" w:rsidRPr="00C869DB">
        <w:rPr>
          <w:rFonts w:cstheme="minorHAnsi"/>
          <w:i/>
          <w:sz w:val="24"/>
          <w:szCs w:val="24"/>
        </w:rPr>
        <w:instrText xml:space="preserve"> HYPERLINK "https://www.ncbi.nlm.nih.gov/pubmed/?term=Uppal%20H%5BAuthor%5D&amp;cauthor=true&amp;cauthor_uid=29373071" </w:instrText>
      </w:r>
      <w:r w:rsidR="00C869DB" w:rsidRPr="00C869DB">
        <w:rPr>
          <w:rFonts w:cstheme="minorHAnsi"/>
          <w:i/>
          <w:sz w:val="24"/>
          <w:szCs w:val="24"/>
        </w:rPr>
        <w:fldChar w:fldCharType="separate"/>
      </w:r>
      <w:r w:rsidR="00C869DB" w:rsidRPr="00C869DB">
        <w:rPr>
          <w:rFonts w:eastAsia="Times New Roman" w:cstheme="minorHAnsi"/>
          <w:i/>
          <w:sz w:val="24"/>
          <w:szCs w:val="24"/>
          <w:lang w:eastAsia="it-IT"/>
        </w:rPr>
        <w:t>Uppal</w:t>
      </w:r>
      <w:proofErr w:type="spellEnd"/>
      <w:r w:rsidR="00C869DB" w:rsidRPr="00C869DB">
        <w:rPr>
          <w:rFonts w:eastAsia="Times New Roman" w:cstheme="minorHAnsi"/>
          <w:i/>
          <w:sz w:val="24"/>
          <w:szCs w:val="24"/>
          <w:lang w:eastAsia="it-IT"/>
        </w:rPr>
        <w:t xml:space="preserve"> H</w:t>
      </w:r>
      <w:r w:rsidR="00C869DB" w:rsidRPr="00C869DB">
        <w:rPr>
          <w:rFonts w:eastAsia="Times New Roman" w:cstheme="minorHAnsi"/>
          <w:i/>
          <w:sz w:val="24"/>
          <w:szCs w:val="24"/>
          <w:lang w:eastAsia="it-IT"/>
        </w:rPr>
        <w:fldChar w:fldCharType="end"/>
      </w:r>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hyperlink r:id="rId16" w:history="1">
        <w:r w:rsidR="00C869DB" w:rsidRPr="00C869DB">
          <w:rPr>
            <w:rFonts w:eastAsia="Times New Roman" w:cstheme="minorHAnsi"/>
            <w:i/>
            <w:sz w:val="24"/>
            <w:szCs w:val="24"/>
            <w:lang w:eastAsia="it-IT"/>
          </w:rPr>
          <w:t>Tudor IC</w:t>
        </w:r>
      </w:hyperlink>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proofErr w:type="spellStart"/>
      <w:r w:rsidR="00C869DB" w:rsidRPr="00C869DB">
        <w:rPr>
          <w:rFonts w:cstheme="minorHAnsi"/>
          <w:i/>
          <w:sz w:val="24"/>
          <w:szCs w:val="24"/>
        </w:rPr>
        <w:fldChar w:fldCharType="begin"/>
      </w:r>
      <w:r w:rsidR="00C869DB" w:rsidRPr="00C869DB">
        <w:rPr>
          <w:rFonts w:cstheme="minorHAnsi"/>
          <w:i/>
          <w:sz w:val="24"/>
          <w:szCs w:val="24"/>
        </w:rPr>
        <w:instrText xml:space="preserve"> HYPERLINK "https://www.ncbi.nlm.nih.gov/pubmed/?term=Peterson%20A%5BAuthor%5D&amp;cauthor=true&amp;cauthor_uid=29373071" </w:instrText>
      </w:r>
      <w:r w:rsidR="00C869DB" w:rsidRPr="00C869DB">
        <w:rPr>
          <w:rFonts w:cstheme="minorHAnsi"/>
          <w:i/>
          <w:sz w:val="24"/>
          <w:szCs w:val="24"/>
        </w:rPr>
        <w:fldChar w:fldCharType="separate"/>
      </w:r>
      <w:r w:rsidR="00C869DB" w:rsidRPr="00C869DB">
        <w:rPr>
          <w:rFonts w:eastAsia="Times New Roman" w:cstheme="minorHAnsi"/>
          <w:i/>
          <w:sz w:val="24"/>
          <w:szCs w:val="24"/>
          <w:lang w:eastAsia="it-IT"/>
        </w:rPr>
        <w:t>Peterson</w:t>
      </w:r>
      <w:proofErr w:type="spellEnd"/>
      <w:r w:rsidR="00C869DB" w:rsidRPr="00C869DB">
        <w:rPr>
          <w:rFonts w:eastAsia="Times New Roman" w:cstheme="minorHAnsi"/>
          <w:i/>
          <w:sz w:val="24"/>
          <w:szCs w:val="24"/>
          <w:lang w:eastAsia="it-IT"/>
        </w:rPr>
        <w:t xml:space="preserve"> A</w:t>
      </w:r>
      <w:r w:rsidR="00C869DB" w:rsidRPr="00C869DB">
        <w:rPr>
          <w:rFonts w:eastAsia="Times New Roman" w:cstheme="minorHAnsi"/>
          <w:i/>
          <w:sz w:val="24"/>
          <w:szCs w:val="24"/>
          <w:lang w:eastAsia="it-IT"/>
        </w:rPr>
        <w:fldChar w:fldCharType="end"/>
      </w:r>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 </w:t>
      </w:r>
      <w:hyperlink r:id="rId17" w:history="1">
        <w:r w:rsidR="00C869DB" w:rsidRPr="00C869DB">
          <w:rPr>
            <w:rFonts w:eastAsia="Times New Roman" w:cstheme="minorHAnsi"/>
            <w:i/>
            <w:sz w:val="24"/>
            <w:szCs w:val="24"/>
            <w:lang w:eastAsia="it-IT"/>
          </w:rPr>
          <w:t>Cortes J</w:t>
        </w:r>
      </w:hyperlink>
      <w:r w:rsidR="00C869DB" w:rsidRPr="00C869DB">
        <w:rPr>
          <w:rFonts w:eastAsia="Times New Roman" w:cstheme="minorHAnsi"/>
          <w:i/>
          <w:sz w:val="24"/>
          <w:szCs w:val="24"/>
          <w:vertAlign w:val="superscript"/>
          <w:lang w:eastAsia="it-IT"/>
        </w:rPr>
        <w:t>1</w:t>
      </w:r>
      <w:r w:rsidR="00C869DB" w:rsidRPr="00C869DB">
        <w:rPr>
          <w:rFonts w:eastAsia="Times New Roman" w:cstheme="minorHAnsi"/>
          <w:i/>
          <w:sz w:val="24"/>
          <w:szCs w:val="24"/>
          <w:lang w:eastAsia="it-IT"/>
        </w:rPr>
        <w:t>.</w:t>
      </w:r>
    </w:p>
    <w:p w:rsidR="00C869DB" w:rsidRPr="00C869DB" w:rsidRDefault="00C869DB" w:rsidP="00C869DB">
      <w:pPr>
        <w:shd w:val="clear" w:color="auto" w:fill="FFFFFF"/>
        <w:spacing w:after="0" w:line="240" w:lineRule="auto"/>
        <w:contextualSpacing/>
        <w:outlineLvl w:val="2"/>
        <w:rPr>
          <w:rFonts w:eastAsia="Times New Roman" w:cstheme="minorHAnsi"/>
          <w:b/>
          <w:bCs/>
          <w:sz w:val="24"/>
          <w:szCs w:val="24"/>
          <w:u w:val="single"/>
          <w:lang w:eastAsia="it-IT"/>
        </w:rPr>
      </w:pPr>
      <w:r w:rsidRPr="00C869DB">
        <w:rPr>
          <w:rFonts w:cstheme="minorHAnsi"/>
          <w:b/>
          <w:sz w:val="24"/>
          <w:szCs w:val="24"/>
          <w:shd w:val="clear" w:color="auto" w:fill="FFFFFF"/>
        </w:rPr>
        <w:t xml:space="preserve">J </w:t>
      </w:r>
      <w:proofErr w:type="spellStart"/>
      <w:r w:rsidRPr="00C869DB">
        <w:rPr>
          <w:rFonts w:cstheme="minorHAnsi"/>
          <w:b/>
          <w:sz w:val="24"/>
          <w:szCs w:val="24"/>
          <w:shd w:val="clear" w:color="auto" w:fill="FFFFFF"/>
        </w:rPr>
        <w:t>Clin</w:t>
      </w:r>
      <w:proofErr w:type="spellEnd"/>
      <w:r w:rsidRPr="00C869DB">
        <w:rPr>
          <w:rFonts w:cstheme="minorHAnsi"/>
          <w:b/>
          <w:sz w:val="24"/>
          <w:szCs w:val="24"/>
          <w:shd w:val="clear" w:color="auto" w:fill="FFFFFF"/>
        </w:rPr>
        <w:t xml:space="preserve"> </w:t>
      </w:r>
      <w:proofErr w:type="spellStart"/>
      <w:r w:rsidRPr="00C869DB">
        <w:rPr>
          <w:rFonts w:cstheme="minorHAnsi"/>
          <w:b/>
          <w:sz w:val="24"/>
          <w:szCs w:val="24"/>
          <w:shd w:val="clear" w:color="auto" w:fill="FFFFFF"/>
        </w:rPr>
        <w:t>Oncol</w:t>
      </w:r>
      <w:proofErr w:type="spellEnd"/>
      <w:r w:rsidRPr="00C869DB">
        <w:rPr>
          <w:rFonts w:cstheme="minorHAnsi"/>
          <w:b/>
          <w:sz w:val="24"/>
          <w:szCs w:val="24"/>
          <w:shd w:val="clear" w:color="auto" w:fill="FFFFFF"/>
        </w:rPr>
        <w:t xml:space="preserve">. 2018 </w:t>
      </w:r>
      <w:proofErr w:type="spellStart"/>
      <w:r w:rsidRPr="00C869DB">
        <w:rPr>
          <w:rFonts w:cstheme="minorHAnsi"/>
          <w:b/>
          <w:sz w:val="24"/>
          <w:szCs w:val="24"/>
          <w:shd w:val="clear" w:color="auto" w:fill="FFFFFF"/>
        </w:rPr>
        <w:t>Jan</w:t>
      </w:r>
      <w:proofErr w:type="spellEnd"/>
      <w:r w:rsidRPr="00C869DB">
        <w:rPr>
          <w:rFonts w:cstheme="minorHAnsi"/>
          <w:b/>
          <w:sz w:val="24"/>
          <w:szCs w:val="24"/>
          <w:shd w:val="clear" w:color="auto" w:fill="FFFFFF"/>
        </w:rPr>
        <w:t xml:space="preserve"> 26:JCO2016713495. </w:t>
      </w:r>
      <w:proofErr w:type="spellStart"/>
      <w:r w:rsidRPr="00C869DB">
        <w:rPr>
          <w:rStyle w:val="Enfasicorsivo"/>
          <w:rFonts w:cstheme="minorHAnsi"/>
          <w:b/>
          <w:bCs/>
          <w:i w:val="0"/>
          <w:iCs w:val="0"/>
          <w:sz w:val="24"/>
          <w:szCs w:val="24"/>
          <w:shd w:val="clear" w:color="auto" w:fill="FFFFFF"/>
        </w:rPr>
        <w:t>doi</w:t>
      </w:r>
      <w:proofErr w:type="spellEnd"/>
      <w:r w:rsidRPr="00C869DB">
        <w:rPr>
          <w:rFonts w:cstheme="minorHAnsi"/>
          <w:sz w:val="24"/>
          <w:szCs w:val="24"/>
          <w:shd w:val="clear" w:color="auto" w:fill="FFFFFF"/>
        </w:rPr>
        <w:t>: </w:t>
      </w:r>
      <w:r w:rsidRPr="00C869DB">
        <w:rPr>
          <w:rStyle w:val="Enfasicorsivo"/>
          <w:rFonts w:cstheme="minorHAnsi"/>
          <w:b/>
          <w:bCs/>
          <w:i w:val="0"/>
          <w:iCs w:val="0"/>
          <w:sz w:val="24"/>
          <w:szCs w:val="24"/>
          <w:shd w:val="clear" w:color="auto" w:fill="FFFFFF"/>
        </w:rPr>
        <w:t>10.1200</w:t>
      </w:r>
      <w:r w:rsidRPr="00C869DB">
        <w:rPr>
          <w:rFonts w:cstheme="minorHAnsi"/>
          <w:sz w:val="24"/>
          <w:szCs w:val="24"/>
          <w:shd w:val="clear" w:color="auto" w:fill="FFFFFF"/>
        </w:rPr>
        <w:t>/</w:t>
      </w:r>
      <w:r w:rsidRPr="00C869DB">
        <w:rPr>
          <w:rStyle w:val="Enfasicorsivo"/>
          <w:rFonts w:cstheme="minorHAnsi"/>
          <w:b/>
          <w:bCs/>
          <w:i w:val="0"/>
          <w:iCs w:val="0"/>
          <w:sz w:val="24"/>
          <w:szCs w:val="24"/>
          <w:shd w:val="clear" w:color="auto" w:fill="FFFFFF"/>
        </w:rPr>
        <w:t>JCO</w:t>
      </w:r>
      <w:r w:rsidRPr="00C869DB">
        <w:rPr>
          <w:rFonts w:cstheme="minorHAnsi"/>
          <w:sz w:val="24"/>
          <w:szCs w:val="24"/>
          <w:shd w:val="clear" w:color="auto" w:fill="FFFFFF"/>
        </w:rPr>
        <w:t>.</w:t>
      </w:r>
      <w:r w:rsidRPr="00C869DB">
        <w:rPr>
          <w:rStyle w:val="Enfasicorsivo"/>
          <w:rFonts w:cstheme="minorHAnsi"/>
          <w:b/>
          <w:bCs/>
          <w:i w:val="0"/>
          <w:iCs w:val="0"/>
          <w:sz w:val="24"/>
          <w:szCs w:val="24"/>
          <w:shd w:val="clear" w:color="auto" w:fill="FFFFFF"/>
        </w:rPr>
        <w:t>2016.71.3495</w:t>
      </w:r>
      <w:r w:rsidRPr="00C869DB">
        <w:rPr>
          <w:rFonts w:cstheme="minorHAnsi"/>
          <w:sz w:val="24"/>
          <w:szCs w:val="24"/>
          <w:shd w:val="clear" w:color="auto" w:fill="FFFFFF"/>
        </w:rPr>
        <w:t>. [</w:t>
      </w:r>
      <w:proofErr w:type="spellStart"/>
      <w:r w:rsidRPr="00C869DB">
        <w:rPr>
          <w:rFonts w:cstheme="minorHAnsi"/>
          <w:sz w:val="24"/>
          <w:szCs w:val="24"/>
          <w:shd w:val="clear" w:color="auto" w:fill="FFFFFF"/>
        </w:rPr>
        <w:t>Epub</w:t>
      </w:r>
      <w:proofErr w:type="spellEnd"/>
      <w:r w:rsidRPr="00C869DB">
        <w:rPr>
          <w:rFonts w:cstheme="minorHAnsi"/>
          <w:sz w:val="24"/>
          <w:szCs w:val="24"/>
          <w:shd w:val="clear" w:color="auto" w:fill="FFFFFF"/>
        </w:rPr>
        <w:t xml:space="preserve"> </w:t>
      </w:r>
      <w:proofErr w:type="spellStart"/>
      <w:r w:rsidRPr="00C869DB">
        <w:rPr>
          <w:rFonts w:cstheme="minorHAnsi"/>
          <w:sz w:val="24"/>
          <w:szCs w:val="24"/>
          <w:shd w:val="clear" w:color="auto" w:fill="FFFFFF"/>
        </w:rPr>
        <w:t>ahead</w:t>
      </w:r>
      <w:proofErr w:type="spellEnd"/>
      <w:r w:rsidRPr="00C869DB">
        <w:rPr>
          <w:rFonts w:cstheme="minorHAnsi"/>
          <w:sz w:val="24"/>
          <w:szCs w:val="24"/>
          <w:shd w:val="clear" w:color="auto" w:fill="FFFFFF"/>
        </w:rPr>
        <w:t xml:space="preserve"> of </w:t>
      </w:r>
      <w:proofErr w:type="spellStart"/>
      <w:r w:rsidRPr="00C869DB">
        <w:rPr>
          <w:rFonts w:cstheme="minorHAnsi"/>
          <w:sz w:val="24"/>
          <w:szCs w:val="24"/>
          <w:shd w:val="clear" w:color="auto" w:fill="FFFFFF"/>
        </w:rPr>
        <w:t>print</w:t>
      </w:r>
      <w:proofErr w:type="spellEnd"/>
      <w:r w:rsidRPr="00C869DB">
        <w:rPr>
          <w:rFonts w:cstheme="minorHAnsi"/>
          <w:sz w:val="24"/>
          <w:szCs w:val="24"/>
          <w:shd w:val="clear" w:color="auto" w:fill="FFFFFF"/>
        </w:rPr>
        <w:t>]. </w:t>
      </w:r>
    </w:p>
    <w:p w:rsidR="00C869DB" w:rsidRDefault="00C869DB" w:rsidP="00AA08E7">
      <w:pPr>
        <w:spacing w:before="100" w:beforeAutospacing="1" w:after="100" w:afterAutospacing="1" w:line="240" w:lineRule="auto"/>
        <w:contextualSpacing/>
        <w:jc w:val="both"/>
      </w:pPr>
    </w:p>
    <w:p w:rsidR="00976D4C" w:rsidRPr="00C869DB" w:rsidRDefault="00C869DB" w:rsidP="00AA08E7">
      <w:pPr>
        <w:spacing w:before="100" w:beforeAutospacing="1" w:after="100" w:afterAutospacing="1" w:line="240" w:lineRule="auto"/>
        <w:contextualSpacing/>
        <w:jc w:val="both"/>
        <w:rPr>
          <w:b/>
        </w:rPr>
      </w:pPr>
      <w:r w:rsidRPr="00C869DB">
        <w:rPr>
          <w:b/>
        </w:rPr>
        <w:t>Obiettivo educazionale</w:t>
      </w:r>
    </w:p>
    <w:p w:rsidR="00C869DB" w:rsidRDefault="00C869DB" w:rsidP="00C869DB">
      <w:pPr>
        <w:shd w:val="clear" w:color="auto" w:fill="FFFFFF"/>
        <w:spacing w:before="100" w:beforeAutospacing="1" w:after="100" w:afterAutospacing="1" w:line="240" w:lineRule="auto"/>
        <w:rPr>
          <w:rFonts w:eastAsia="Times New Roman" w:cstheme="minorHAnsi"/>
          <w:bCs/>
          <w:color w:val="232323"/>
          <w:lang w:eastAsia="it-IT"/>
        </w:rPr>
      </w:pPr>
      <w:r w:rsidRPr="00C869DB">
        <w:rPr>
          <w:rFonts w:eastAsia="Times New Roman" w:cstheme="minorHAnsi"/>
          <w:bCs/>
          <w:color w:val="232323"/>
          <w:lang w:eastAsia="it-IT"/>
        </w:rPr>
        <w:t xml:space="preserve">I progressi nella tecnologia genomica hanno portato a miglioramenti nella nostra comprensione della biologia </w:t>
      </w:r>
      <w:r>
        <w:rPr>
          <w:rFonts w:eastAsia="Times New Roman" w:cstheme="minorHAnsi"/>
          <w:bCs/>
          <w:color w:val="232323"/>
          <w:lang w:eastAsia="it-IT"/>
        </w:rPr>
        <w:t>intrinseca al tumore della mammella</w:t>
      </w:r>
      <w:r w:rsidRPr="00C869DB">
        <w:rPr>
          <w:rFonts w:eastAsia="Times New Roman" w:cstheme="minorHAnsi"/>
          <w:bCs/>
          <w:color w:val="232323"/>
          <w:lang w:eastAsia="it-IT"/>
        </w:rPr>
        <w:t>. Questi progressi hanno gettato luce sulle basi molecolari che spiegano il comportamen</w:t>
      </w:r>
      <w:r>
        <w:rPr>
          <w:rFonts w:eastAsia="Times New Roman" w:cstheme="minorHAnsi"/>
          <w:bCs/>
          <w:color w:val="232323"/>
          <w:lang w:eastAsia="it-IT"/>
        </w:rPr>
        <w:t>to eterogeneo dei tumori mammari</w:t>
      </w:r>
      <w:r w:rsidRPr="00C869DB">
        <w:rPr>
          <w:rFonts w:eastAsia="Times New Roman" w:cstheme="minorHAnsi"/>
          <w:bCs/>
          <w:color w:val="232323"/>
          <w:lang w:eastAsia="it-IT"/>
        </w:rPr>
        <w:t xml:space="preserve">, in particolare </w:t>
      </w:r>
      <w:r>
        <w:rPr>
          <w:rFonts w:eastAsia="Times New Roman" w:cstheme="minorHAnsi"/>
          <w:bCs/>
          <w:color w:val="232323"/>
          <w:lang w:eastAsia="it-IT"/>
        </w:rPr>
        <w:t>del tipo</w:t>
      </w:r>
      <w:r w:rsidRPr="00C869DB">
        <w:rPr>
          <w:rFonts w:eastAsia="Times New Roman" w:cstheme="minorHAnsi"/>
          <w:bCs/>
          <w:color w:val="232323"/>
          <w:lang w:eastAsia="it-IT"/>
        </w:rPr>
        <w:t xml:space="preserve"> </w:t>
      </w:r>
      <w:r>
        <w:rPr>
          <w:rFonts w:eastAsia="Times New Roman" w:cstheme="minorHAnsi"/>
          <w:bCs/>
          <w:color w:val="232323"/>
          <w:lang w:eastAsia="it-IT"/>
        </w:rPr>
        <w:t>triplo negativo (TNBC). Un</w:t>
      </w:r>
      <w:r w:rsidRPr="00C869DB">
        <w:rPr>
          <w:rFonts w:eastAsia="Times New Roman" w:cstheme="minorHAnsi"/>
          <w:bCs/>
          <w:color w:val="232323"/>
          <w:lang w:eastAsia="it-IT"/>
        </w:rPr>
        <w:t xml:space="preserve"> sottotipo di TNBC esprime il recettore degli androgeni (AR), che ha un pattern di espressione genica luminale e ha dimostrato scarse risposte alla chemioterapia. Nel presente studio</w:t>
      </w:r>
      <w:r w:rsidR="00577EF4">
        <w:rPr>
          <w:rFonts w:eastAsia="Times New Roman" w:cstheme="minorHAnsi"/>
          <w:bCs/>
          <w:color w:val="232323"/>
          <w:lang w:eastAsia="it-IT"/>
        </w:rPr>
        <w:t xml:space="preserve"> prospettico di fase II</w:t>
      </w:r>
      <w:r w:rsidRPr="00C869DB">
        <w:rPr>
          <w:rFonts w:eastAsia="Times New Roman" w:cstheme="minorHAnsi"/>
          <w:bCs/>
          <w:color w:val="232323"/>
          <w:lang w:eastAsia="it-IT"/>
        </w:rPr>
        <w:t xml:space="preserve"> gli autori riportano l'atti</w:t>
      </w:r>
      <w:r>
        <w:rPr>
          <w:rFonts w:eastAsia="Times New Roman" w:cstheme="minorHAnsi"/>
          <w:bCs/>
          <w:color w:val="232323"/>
          <w:lang w:eastAsia="it-IT"/>
        </w:rPr>
        <w:t xml:space="preserve">vità clinica e la sicurezza di </w:t>
      </w:r>
      <w:proofErr w:type="spellStart"/>
      <w:r>
        <w:rPr>
          <w:rFonts w:eastAsia="Times New Roman" w:cstheme="minorHAnsi"/>
          <w:bCs/>
          <w:color w:val="232323"/>
          <w:lang w:eastAsia="it-IT"/>
        </w:rPr>
        <w:t>E</w:t>
      </w:r>
      <w:r w:rsidRPr="00C869DB">
        <w:rPr>
          <w:rFonts w:eastAsia="Times New Roman" w:cstheme="minorHAnsi"/>
          <w:bCs/>
          <w:color w:val="232323"/>
          <w:lang w:eastAsia="it-IT"/>
        </w:rPr>
        <w:t>nzalutamide</w:t>
      </w:r>
      <w:proofErr w:type="spellEnd"/>
      <w:r w:rsidR="00577EF4">
        <w:rPr>
          <w:rFonts w:eastAsia="Times New Roman" w:cstheme="minorHAnsi"/>
          <w:bCs/>
          <w:color w:val="232323"/>
          <w:lang w:eastAsia="it-IT"/>
        </w:rPr>
        <w:t xml:space="preserve">, </w:t>
      </w:r>
      <w:r w:rsidR="00577EF4" w:rsidRPr="00577EF4">
        <w:rPr>
          <w:rFonts w:eastAsia="Times New Roman" w:cstheme="minorHAnsi"/>
          <w:color w:val="232323"/>
          <w:lang w:eastAsia="it-IT"/>
        </w:rPr>
        <w:t>un potente inibitore del recettore degli androgeni</w:t>
      </w:r>
      <w:r w:rsidR="00577EF4">
        <w:rPr>
          <w:rFonts w:eastAsia="Times New Roman" w:cstheme="minorHAnsi"/>
          <w:color w:val="232323"/>
          <w:lang w:eastAsia="it-IT"/>
        </w:rPr>
        <w:t>,</w:t>
      </w:r>
      <w:r w:rsidRPr="00C869DB">
        <w:rPr>
          <w:rFonts w:eastAsia="Times New Roman" w:cstheme="minorHAnsi"/>
          <w:bCs/>
          <w:color w:val="232323"/>
          <w:lang w:eastAsia="it-IT"/>
        </w:rPr>
        <w:t xml:space="preserve"> nei pazienti AR + TNBC con malattia avanzata</w:t>
      </w:r>
      <w:r w:rsidR="00577EF4">
        <w:rPr>
          <w:rFonts w:eastAsia="Times New Roman" w:cstheme="minorHAnsi"/>
          <w:bCs/>
          <w:color w:val="232323"/>
          <w:lang w:eastAsia="it-IT"/>
        </w:rPr>
        <w:t xml:space="preserve"> o metastatica</w:t>
      </w:r>
      <w:r w:rsidRPr="00C869DB">
        <w:rPr>
          <w:rFonts w:eastAsia="Times New Roman" w:cstheme="minorHAnsi"/>
          <w:bCs/>
          <w:color w:val="232323"/>
          <w:lang w:eastAsia="it-IT"/>
        </w:rPr>
        <w:t xml:space="preserve">. </w:t>
      </w:r>
    </w:p>
    <w:p w:rsidR="00577EF4" w:rsidRDefault="00577EF4" w:rsidP="00C869DB">
      <w:pPr>
        <w:shd w:val="clear" w:color="auto" w:fill="FFFFFF"/>
        <w:spacing w:before="100" w:beforeAutospacing="1" w:after="100" w:afterAutospacing="1" w:line="240" w:lineRule="auto"/>
        <w:rPr>
          <w:rFonts w:eastAsia="Times New Roman" w:cstheme="minorHAnsi"/>
          <w:bCs/>
          <w:color w:val="232323"/>
          <w:lang w:eastAsia="it-IT"/>
        </w:rPr>
      </w:pPr>
      <w:r>
        <w:rPr>
          <w:rFonts w:eastAsia="Times New Roman" w:cstheme="minorHAnsi"/>
          <w:bCs/>
          <w:color w:val="232323"/>
          <w:lang w:eastAsia="it-IT"/>
        </w:rPr>
        <w:t>I n</w:t>
      </w:r>
      <w:r w:rsidRPr="00C869DB">
        <w:rPr>
          <w:rFonts w:eastAsia="Times New Roman" w:cstheme="minorHAnsi"/>
          <w:bCs/>
          <w:color w:val="232323"/>
          <w:lang w:eastAsia="it-IT"/>
        </w:rPr>
        <w:t>uovi agenti androgeni-</w:t>
      </w:r>
      <w:proofErr w:type="spellStart"/>
      <w:r w:rsidRPr="00C869DB">
        <w:rPr>
          <w:rFonts w:eastAsia="Times New Roman" w:cstheme="minorHAnsi"/>
          <w:bCs/>
          <w:color w:val="232323"/>
          <w:lang w:eastAsia="it-IT"/>
        </w:rPr>
        <w:t>targeting</w:t>
      </w:r>
      <w:proofErr w:type="spellEnd"/>
      <w:r w:rsidRPr="00C869DB">
        <w:rPr>
          <w:rFonts w:eastAsia="Times New Roman" w:cstheme="minorHAnsi"/>
          <w:bCs/>
          <w:color w:val="232323"/>
          <w:lang w:eastAsia="it-IT"/>
        </w:rPr>
        <w:t xml:space="preserve"> hanno meno effetti virilizzanti e rappresentano un'opzione di trattamento generalmente ben tollerata per una popolazione di pazienti che finora non ha avuto opzioni terapeutiche mirate</w:t>
      </w:r>
    </w:p>
    <w:p w:rsidR="00577EF4" w:rsidRDefault="00577EF4" w:rsidP="00577EF4">
      <w:pPr>
        <w:spacing w:line="240" w:lineRule="auto"/>
        <w:contextualSpacing/>
        <w:jc w:val="both"/>
        <w:rPr>
          <w:b/>
        </w:rPr>
      </w:pPr>
      <w:r w:rsidRPr="00BC572D">
        <w:rPr>
          <w:b/>
        </w:rPr>
        <w:t>Principali risultati</w:t>
      </w:r>
    </w:p>
    <w:p w:rsidR="00577EF4" w:rsidRDefault="00577EF4" w:rsidP="00577EF4">
      <w:pPr>
        <w:spacing w:line="240" w:lineRule="auto"/>
        <w:contextualSpacing/>
        <w:jc w:val="both"/>
        <w:rPr>
          <w:rFonts w:eastAsia="Times New Roman" w:cstheme="minorHAnsi"/>
          <w:bCs/>
          <w:color w:val="232323"/>
          <w:lang w:eastAsia="it-IT"/>
        </w:rPr>
      </w:pPr>
      <w:r>
        <w:rPr>
          <w:rFonts w:eastAsia="Times New Roman" w:cstheme="minorHAnsi"/>
          <w:bCs/>
          <w:color w:val="232323"/>
          <w:lang w:eastAsia="it-IT"/>
        </w:rPr>
        <w:t>Il disegno dello studio</w:t>
      </w:r>
      <w:r w:rsidR="0088552A">
        <w:rPr>
          <w:rFonts w:eastAsia="Times New Roman" w:cstheme="minorHAnsi"/>
          <w:bCs/>
          <w:color w:val="232323"/>
          <w:lang w:eastAsia="it-IT"/>
        </w:rPr>
        <w:t xml:space="preserve">, finanziato dal National </w:t>
      </w:r>
      <w:proofErr w:type="spellStart"/>
      <w:r w:rsidR="0088552A">
        <w:rPr>
          <w:rFonts w:eastAsia="Times New Roman" w:cstheme="minorHAnsi"/>
          <w:bCs/>
          <w:color w:val="232323"/>
          <w:lang w:eastAsia="it-IT"/>
        </w:rPr>
        <w:t>Institutes</w:t>
      </w:r>
      <w:proofErr w:type="spellEnd"/>
      <w:r w:rsidR="0088552A">
        <w:rPr>
          <w:rFonts w:eastAsia="Times New Roman" w:cstheme="minorHAnsi"/>
          <w:bCs/>
          <w:color w:val="232323"/>
          <w:lang w:eastAsia="it-IT"/>
        </w:rPr>
        <w:t xml:space="preserve"> of </w:t>
      </w:r>
      <w:proofErr w:type="spellStart"/>
      <w:r w:rsidR="0088552A">
        <w:rPr>
          <w:rFonts w:eastAsia="Times New Roman" w:cstheme="minorHAnsi"/>
          <w:bCs/>
          <w:color w:val="232323"/>
          <w:lang w:eastAsia="it-IT"/>
        </w:rPr>
        <w:t>Health</w:t>
      </w:r>
      <w:proofErr w:type="spellEnd"/>
      <w:r w:rsidR="0088552A">
        <w:rPr>
          <w:rFonts w:eastAsia="Times New Roman" w:cstheme="minorHAnsi"/>
          <w:bCs/>
          <w:color w:val="232323"/>
          <w:lang w:eastAsia="it-IT"/>
        </w:rPr>
        <w:t xml:space="preserve"> e le società </w:t>
      </w:r>
      <w:proofErr w:type="spellStart"/>
      <w:r w:rsidR="0088552A">
        <w:rPr>
          <w:rFonts w:eastAsia="Times New Roman" w:cstheme="minorHAnsi"/>
          <w:bCs/>
          <w:color w:val="232323"/>
          <w:lang w:eastAsia="it-IT"/>
        </w:rPr>
        <w:t>Medivation</w:t>
      </w:r>
      <w:proofErr w:type="spellEnd"/>
      <w:r w:rsidR="0088552A">
        <w:rPr>
          <w:rFonts w:eastAsia="Times New Roman" w:cstheme="minorHAnsi"/>
          <w:bCs/>
          <w:color w:val="232323"/>
          <w:lang w:eastAsia="it-IT"/>
        </w:rPr>
        <w:t xml:space="preserve"> (Pfizer) ed </w:t>
      </w:r>
      <w:proofErr w:type="spellStart"/>
      <w:r w:rsidR="0088552A">
        <w:rPr>
          <w:rFonts w:eastAsia="Times New Roman" w:cstheme="minorHAnsi"/>
          <w:bCs/>
          <w:color w:val="232323"/>
          <w:lang w:eastAsia="it-IT"/>
        </w:rPr>
        <w:t>Astellas</w:t>
      </w:r>
      <w:proofErr w:type="spellEnd"/>
      <w:r w:rsidR="0088552A">
        <w:rPr>
          <w:rFonts w:eastAsia="Times New Roman" w:cstheme="minorHAnsi"/>
          <w:bCs/>
          <w:color w:val="232323"/>
          <w:lang w:eastAsia="it-IT"/>
        </w:rPr>
        <w:t xml:space="preserve"> </w:t>
      </w:r>
      <w:proofErr w:type="spellStart"/>
      <w:r w:rsidR="0088552A">
        <w:rPr>
          <w:rFonts w:eastAsia="Times New Roman" w:cstheme="minorHAnsi"/>
          <w:bCs/>
          <w:color w:val="232323"/>
          <w:lang w:eastAsia="it-IT"/>
        </w:rPr>
        <w:t>Pharma</w:t>
      </w:r>
      <w:proofErr w:type="spellEnd"/>
      <w:r w:rsidR="0088552A">
        <w:rPr>
          <w:rFonts w:eastAsia="Times New Roman" w:cstheme="minorHAnsi"/>
          <w:bCs/>
          <w:color w:val="232323"/>
          <w:lang w:eastAsia="it-IT"/>
        </w:rPr>
        <w:t>,</w:t>
      </w:r>
      <w:r>
        <w:rPr>
          <w:rFonts w:eastAsia="Times New Roman" w:cstheme="minorHAnsi"/>
          <w:bCs/>
          <w:color w:val="232323"/>
          <w:lang w:eastAsia="it-IT"/>
        </w:rPr>
        <w:t xml:space="preserve"> prevedeva la somministrazione di </w:t>
      </w:r>
      <w:proofErr w:type="spellStart"/>
      <w:r>
        <w:rPr>
          <w:rFonts w:eastAsia="Times New Roman" w:cstheme="minorHAnsi"/>
          <w:bCs/>
          <w:color w:val="232323"/>
          <w:lang w:eastAsia="it-IT"/>
        </w:rPr>
        <w:t>Enzalutamide</w:t>
      </w:r>
      <w:proofErr w:type="spellEnd"/>
      <w:r>
        <w:rPr>
          <w:rFonts w:eastAsia="Times New Roman" w:cstheme="minorHAnsi"/>
          <w:bCs/>
          <w:color w:val="232323"/>
          <w:lang w:eastAsia="it-IT"/>
        </w:rPr>
        <w:t xml:space="preserve"> alla dose di 160 mg/die fino a progressione di malattia per 118 pazienti, 78 delle quali valutabili in quanto avevano una espressione di AR</w:t>
      </w:r>
      <w:r w:rsidR="0088552A">
        <w:rPr>
          <w:rFonts w:eastAsia="Times New Roman" w:cstheme="minorHAnsi"/>
          <w:bCs/>
          <w:color w:val="232323"/>
          <w:lang w:eastAsia="it-IT"/>
        </w:rPr>
        <w:t xml:space="preserve"> nucleare ≥10%</w:t>
      </w:r>
      <w:r>
        <w:rPr>
          <w:rFonts w:eastAsia="Times New Roman" w:cstheme="minorHAnsi"/>
          <w:bCs/>
          <w:color w:val="232323"/>
          <w:lang w:eastAsia="it-IT"/>
        </w:rPr>
        <w:t xml:space="preserve"> </w:t>
      </w:r>
      <w:r w:rsidR="0088552A">
        <w:rPr>
          <w:rFonts w:eastAsia="Times New Roman" w:cstheme="minorHAnsi"/>
          <w:bCs/>
          <w:color w:val="232323"/>
          <w:lang w:eastAsia="it-IT"/>
        </w:rPr>
        <w:t>.</w:t>
      </w:r>
    </w:p>
    <w:p w:rsidR="0088552A" w:rsidRDefault="0088552A" w:rsidP="00577EF4">
      <w:pPr>
        <w:spacing w:line="240" w:lineRule="auto"/>
        <w:contextualSpacing/>
        <w:jc w:val="both"/>
        <w:rPr>
          <w:rFonts w:eastAsia="Times New Roman" w:cstheme="minorHAnsi"/>
          <w:bCs/>
          <w:color w:val="232323"/>
          <w:lang w:eastAsia="it-IT"/>
        </w:rPr>
      </w:pPr>
      <w:r>
        <w:rPr>
          <w:rFonts w:eastAsia="Times New Roman" w:cstheme="minorHAnsi"/>
          <w:bCs/>
          <w:color w:val="232323"/>
          <w:lang w:eastAsia="it-IT"/>
        </w:rPr>
        <w:t>Dopo 16 settimane i</w:t>
      </w:r>
      <w:r w:rsidR="00C869DB" w:rsidRPr="00C869DB">
        <w:rPr>
          <w:rFonts w:eastAsia="Times New Roman" w:cstheme="minorHAnsi"/>
          <w:bCs/>
          <w:color w:val="232323"/>
          <w:lang w:eastAsia="it-IT"/>
        </w:rPr>
        <w:t xml:space="preserve">l tasso di beneficio clinico </w:t>
      </w:r>
      <w:r>
        <w:rPr>
          <w:rFonts w:eastAsia="Times New Roman" w:cstheme="minorHAnsi"/>
          <w:bCs/>
          <w:color w:val="232323"/>
          <w:lang w:eastAsia="it-IT"/>
        </w:rPr>
        <w:t>nella popolazione generale (ITT)</w:t>
      </w:r>
      <w:r w:rsidR="00C869DB" w:rsidRPr="00C869DB">
        <w:rPr>
          <w:rFonts w:eastAsia="Times New Roman" w:cstheme="minorHAnsi"/>
          <w:bCs/>
          <w:color w:val="232323"/>
          <w:lang w:eastAsia="it-IT"/>
        </w:rPr>
        <w:t xml:space="preserve"> </w:t>
      </w:r>
      <w:r>
        <w:rPr>
          <w:rFonts w:eastAsia="Times New Roman" w:cstheme="minorHAnsi"/>
          <w:bCs/>
          <w:color w:val="232323"/>
          <w:lang w:eastAsia="it-IT"/>
        </w:rPr>
        <w:t>era del 25% ma nella popolazione valutabile</w:t>
      </w:r>
      <w:r w:rsidR="00C869DB" w:rsidRPr="00C869DB">
        <w:rPr>
          <w:rFonts w:eastAsia="Times New Roman" w:cstheme="minorHAnsi"/>
          <w:bCs/>
          <w:color w:val="232323"/>
          <w:lang w:eastAsia="it-IT"/>
        </w:rPr>
        <w:t xml:space="preserve"> </w:t>
      </w:r>
      <w:r>
        <w:rPr>
          <w:rFonts w:eastAsia="Times New Roman" w:cstheme="minorHAnsi"/>
          <w:bCs/>
          <w:color w:val="232323"/>
          <w:lang w:eastAsia="it-IT"/>
        </w:rPr>
        <w:t>era del</w:t>
      </w:r>
      <w:r w:rsidR="00C869DB" w:rsidRPr="00C869DB">
        <w:rPr>
          <w:rFonts w:eastAsia="Times New Roman" w:cstheme="minorHAnsi"/>
          <w:bCs/>
          <w:color w:val="232323"/>
          <w:lang w:eastAsia="it-IT"/>
        </w:rPr>
        <w:t xml:space="preserve"> 33%</w:t>
      </w:r>
      <w:r>
        <w:rPr>
          <w:rFonts w:eastAsia="Times New Roman" w:cstheme="minorHAnsi"/>
          <w:bCs/>
          <w:color w:val="232323"/>
          <w:lang w:eastAsia="it-IT"/>
        </w:rPr>
        <w:t>.</w:t>
      </w:r>
      <w:r w:rsidR="00C869DB" w:rsidRPr="00C869DB">
        <w:rPr>
          <w:rFonts w:eastAsia="Times New Roman" w:cstheme="minorHAnsi"/>
          <w:bCs/>
          <w:color w:val="232323"/>
          <w:lang w:eastAsia="it-IT"/>
        </w:rPr>
        <w:t xml:space="preserve"> </w:t>
      </w:r>
      <w:r>
        <w:rPr>
          <w:rFonts w:eastAsia="Times New Roman" w:cstheme="minorHAnsi"/>
          <w:bCs/>
          <w:color w:val="232323"/>
          <w:lang w:eastAsia="it-IT"/>
        </w:rPr>
        <w:t xml:space="preserve"> La sopravvivenza libera da progressione (PFS) mediana per l’intera popolazione è risultata di 2.9 mesi e di 3.3 mesi per il gruppo valutabile.</w:t>
      </w:r>
    </w:p>
    <w:p w:rsidR="006E35C2" w:rsidRDefault="006E35C2" w:rsidP="00577EF4">
      <w:pPr>
        <w:spacing w:line="240" w:lineRule="auto"/>
        <w:contextualSpacing/>
        <w:jc w:val="both"/>
        <w:rPr>
          <w:rFonts w:eastAsia="Times New Roman" w:cstheme="minorHAnsi"/>
          <w:bCs/>
          <w:color w:val="232323"/>
          <w:lang w:eastAsia="it-IT"/>
        </w:rPr>
      </w:pPr>
    </w:p>
    <w:p w:rsidR="006E35C2" w:rsidRDefault="006E35C2" w:rsidP="00577EF4">
      <w:pPr>
        <w:spacing w:line="240" w:lineRule="auto"/>
        <w:contextualSpacing/>
        <w:jc w:val="both"/>
        <w:rPr>
          <w:rFonts w:eastAsia="Times New Roman" w:cstheme="minorHAnsi"/>
          <w:bCs/>
          <w:color w:val="232323"/>
          <w:lang w:eastAsia="it-IT"/>
        </w:rPr>
      </w:pPr>
      <w:r w:rsidRPr="00495F2F">
        <w:rPr>
          <w:b/>
        </w:rPr>
        <w:t>Interpretazione e prospettive</w:t>
      </w:r>
    </w:p>
    <w:p w:rsidR="006E35C2" w:rsidRDefault="0088552A" w:rsidP="00577EF4">
      <w:pPr>
        <w:spacing w:line="240" w:lineRule="auto"/>
        <w:contextualSpacing/>
        <w:jc w:val="both"/>
        <w:rPr>
          <w:rFonts w:eastAsia="Times New Roman" w:cstheme="minorHAnsi"/>
          <w:bCs/>
          <w:color w:val="232323"/>
          <w:lang w:eastAsia="it-IT"/>
        </w:rPr>
      </w:pPr>
      <w:r>
        <w:rPr>
          <w:rFonts w:eastAsia="Times New Roman" w:cstheme="minorHAnsi"/>
          <w:bCs/>
          <w:color w:val="232323"/>
          <w:lang w:eastAsia="it-IT"/>
        </w:rPr>
        <w:t xml:space="preserve">Tale dati </w:t>
      </w:r>
      <w:r w:rsidR="006E35C2">
        <w:rPr>
          <w:rFonts w:eastAsia="Times New Roman" w:cstheme="minorHAnsi"/>
          <w:bCs/>
          <w:color w:val="232323"/>
          <w:lang w:eastAsia="it-IT"/>
        </w:rPr>
        <w:t>sono moderatamente</w:t>
      </w:r>
      <w:r>
        <w:rPr>
          <w:rFonts w:eastAsia="Times New Roman" w:cstheme="minorHAnsi"/>
          <w:bCs/>
          <w:color w:val="232323"/>
          <w:lang w:eastAsia="it-IT"/>
        </w:rPr>
        <w:t xml:space="preserve"> significativi</w:t>
      </w:r>
      <w:r w:rsidR="00C869DB" w:rsidRPr="00C869DB">
        <w:rPr>
          <w:rFonts w:eastAsia="Times New Roman" w:cstheme="minorHAnsi"/>
          <w:bCs/>
          <w:color w:val="232323"/>
          <w:lang w:eastAsia="it-IT"/>
        </w:rPr>
        <w:t xml:space="preserve"> </w:t>
      </w:r>
      <w:r w:rsidR="006E35C2">
        <w:rPr>
          <w:rFonts w:eastAsia="Times New Roman" w:cstheme="minorHAnsi"/>
          <w:bCs/>
          <w:color w:val="232323"/>
          <w:lang w:eastAsia="it-IT"/>
        </w:rPr>
        <w:t>ma bisogna considerare</w:t>
      </w:r>
      <w:r>
        <w:rPr>
          <w:rFonts w:eastAsia="Times New Roman" w:cstheme="minorHAnsi"/>
          <w:bCs/>
          <w:color w:val="232323"/>
          <w:lang w:eastAsia="it-IT"/>
        </w:rPr>
        <w:t xml:space="preserve"> che la maggior parte delle pazienti è stata trattata in prima o</w:t>
      </w:r>
      <w:r w:rsidR="00C869DB" w:rsidRPr="00C869DB">
        <w:rPr>
          <w:rFonts w:eastAsia="Times New Roman" w:cstheme="minorHAnsi"/>
          <w:bCs/>
          <w:color w:val="232323"/>
          <w:lang w:eastAsia="it-IT"/>
        </w:rPr>
        <w:t xml:space="preserve"> seconda linea di terapia</w:t>
      </w:r>
      <w:r w:rsidR="003F01FF">
        <w:rPr>
          <w:rFonts w:eastAsia="Times New Roman" w:cstheme="minorHAnsi"/>
          <w:bCs/>
          <w:color w:val="232323"/>
          <w:lang w:eastAsia="it-IT"/>
        </w:rPr>
        <w:t xml:space="preserve">, </w:t>
      </w:r>
      <w:r w:rsidR="006E35C2">
        <w:rPr>
          <w:rFonts w:eastAsia="Times New Roman" w:cstheme="minorHAnsi"/>
          <w:bCs/>
          <w:color w:val="232323"/>
          <w:lang w:eastAsia="it-IT"/>
        </w:rPr>
        <w:t xml:space="preserve">e </w:t>
      </w:r>
      <w:r w:rsidR="003F01FF">
        <w:rPr>
          <w:rFonts w:eastAsia="Times New Roman" w:cstheme="minorHAnsi"/>
          <w:bCs/>
          <w:color w:val="232323"/>
          <w:lang w:eastAsia="it-IT"/>
        </w:rPr>
        <w:t>che l’unico evento avverso di grado 3 è risultato essere l’affaticamento</w:t>
      </w:r>
      <w:r w:rsidR="00B71EC8">
        <w:rPr>
          <w:rFonts w:eastAsia="Times New Roman" w:cstheme="minorHAnsi"/>
          <w:bCs/>
          <w:color w:val="232323"/>
          <w:lang w:eastAsia="it-IT"/>
        </w:rPr>
        <w:t>,</w:t>
      </w:r>
      <w:r w:rsidR="003F01FF">
        <w:rPr>
          <w:rFonts w:eastAsia="Times New Roman" w:cstheme="minorHAnsi"/>
          <w:bCs/>
          <w:color w:val="232323"/>
          <w:lang w:eastAsia="it-IT"/>
        </w:rPr>
        <w:t xml:space="preserve"> ma con una incidenza di circa il 2%.  </w:t>
      </w:r>
      <w:r w:rsidR="00C869DB" w:rsidRPr="00C869DB">
        <w:rPr>
          <w:rFonts w:eastAsia="Times New Roman" w:cstheme="minorHAnsi"/>
          <w:bCs/>
          <w:color w:val="232323"/>
          <w:lang w:eastAsia="it-IT"/>
        </w:rPr>
        <w:t xml:space="preserve"> </w:t>
      </w:r>
    </w:p>
    <w:p w:rsidR="006E35C2" w:rsidRDefault="006E35C2" w:rsidP="006E35C2">
      <w:pPr>
        <w:spacing w:line="240" w:lineRule="auto"/>
        <w:contextualSpacing/>
        <w:jc w:val="both"/>
      </w:pPr>
      <w:r w:rsidRPr="006E35C2">
        <w:t>Sebbene lo studio abbia raggiunto il suo end</w:t>
      </w:r>
      <w:r>
        <w:t>-</w:t>
      </w:r>
      <w:proofErr w:type="spellStart"/>
      <w:r w:rsidRPr="006E35C2">
        <w:t>point</w:t>
      </w:r>
      <w:proofErr w:type="spellEnd"/>
      <w:r w:rsidRPr="006E35C2">
        <w:t xml:space="preserve"> primario, il trattamento della TNBC rimane una n</w:t>
      </w:r>
      <w:r w:rsidR="00B71EC8">
        <w:t>ecessità medica insoddisfatta. Alcuni</w:t>
      </w:r>
      <w:r w:rsidRPr="006E35C2">
        <w:t xml:space="preserve"> sotto</w:t>
      </w:r>
      <w:r>
        <w:t>gruppi di TNBC possono</w:t>
      </w:r>
      <w:r w:rsidRPr="006E35C2">
        <w:t xml:space="preserve"> avere terapie specifiche </w:t>
      </w:r>
      <w:r w:rsidR="00B71EC8">
        <w:t>anche</w:t>
      </w:r>
      <w:r w:rsidRPr="006E35C2">
        <w:t xml:space="preserve"> efficaci, ma questi dati sug</w:t>
      </w:r>
      <w:r>
        <w:t>geriscono che il beneficio che le</w:t>
      </w:r>
      <w:r w:rsidRPr="006E35C2">
        <w:t xml:space="preserve"> paz</w:t>
      </w:r>
      <w:r>
        <w:t>ienti potrebbero ottenere dall'</w:t>
      </w:r>
      <w:proofErr w:type="spellStart"/>
      <w:r>
        <w:t>E</w:t>
      </w:r>
      <w:r w:rsidRPr="006E35C2">
        <w:t>nzimautamide</w:t>
      </w:r>
      <w:proofErr w:type="spellEnd"/>
      <w:r w:rsidRPr="006E35C2">
        <w:t xml:space="preserve"> sia modesto</w:t>
      </w:r>
      <w:r>
        <w:t xml:space="preserve"> e ulteriori studi sono attesi per chiarirne meglio il ruolo</w:t>
      </w:r>
      <w:r w:rsidRPr="006E35C2">
        <w:t xml:space="preserve">. </w:t>
      </w:r>
    </w:p>
    <w:p w:rsidR="006E35C2" w:rsidRDefault="0099241A" w:rsidP="006E35C2">
      <w:pPr>
        <w:spacing w:line="240" w:lineRule="auto"/>
        <w:contextualSpacing/>
        <w:jc w:val="both"/>
        <w:rPr>
          <w:rFonts w:eastAsia="Times New Roman" w:cstheme="minorHAnsi"/>
          <w:bCs/>
          <w:color w:val="232323"/>
          <w:lang w:eastAsia="it-IT"/>
        </w:rPr>
      </w:pPr>
      <w:r>
        <w:rPr>
          <w:rFonts w:eastAsia="Times New Roman" w:cstheme="minorHAnsi"/>
          <w:bCs/>
          <w:color w:val="232323"/>
          <w:lang w:eastAsia="it-IT"/>
        </w:rPr>
        <w:t>Comunque poiché anche molti</w:t>
      </w:r>
      <w:r w:rsidR="006E35C2">
        <w:rPr>
          <w:rFonts w:eastAsia="Times New Roman" w:cstheme="minorHAnsi"/>
          <w:bCs/>
          <w:color w:val="232323"/>
          <w:lang w:eastAsia="it-IT"/>
        </w:rPr>
        <w:t xml:space="preserve"> tumori</w:t>
      </w:r>
      <w:r>
        <w:rPr>
          <w:rFonts w:eastAsia="Times New Roman" w:cstheme="minorHAnsi"/>
          <w:bCs/>
          <w:color w:val="232323"/>
          <w:lang w:eastAsia="it-IT"/>
        </w:rPr>
        <w:t xml:space="preserve"> con</w:t>
      </w:r>
      <w:r w:rsidR="006E35C2">
        <w:rPr>
          <w:rFonts w:eastAsia="Times New Roman" w:cstheme="minorHAnsi"/>
          <w:bCs/>
          <w:color w:val="232323"/>
          <w:lang w:eastAsia="it-IT"/>
        </w:rPr>
        <w:t xml:space="preserve"> recettori positivi e alcuni tumori HER2 positivi</w:t>
      </w:r>
      <w:r w:rsidR="006E35C2" w:rsidRPr="00C869DB">
        <w:rPr>
          <w:rFonts w:eastAsia="Times New Roman" w:cstheme="minorHAnsi"/>
          <w:bCs/>
          <w:color w:val="232323"/>
          <w:lang w:eastAsia="it-IT"/>
        </w:rPr>
        <w:t xml:space="preserve"> esprimono anche AR, ci sono studi in corso che </w:t>
      </w:r>
      <w:r w:rsidR="006E35C2">
        <w:rPr>
          <w:rFonts w:eastAsia="Times New Roman" w:cstheme="minorHAnsi"/>
          <w:bCs/>
          <w:color w:val="232323"/>
          <w:lang w:eastAsia="it-IT"/>
        </w:rPr>
        <w:t>valutano terapie mirate al blocco o alla inattivazione del Recettore Androgeno anche in questi altri gruppi di pazienti.</w:t>
      </w:r>
    </w:p>
    <w:p w:rsidR="006E35C2" w:rsidRDefault="006E35C2" w:rsidP="006E35C2">
      <w:pPr>
        <w:spacing w:line="240" w:lineRule="auto"/>
        <w:contextualSpacing/>
        <w:jc w:val="both"/>
        <w:rPr>
          <w:rFonts w:eastAsia="Times New Roman" w:cstheme="minorHAnsi"/>
          <w:bCs/>
          <w:color w:val="232323"/>
          <w:lang w:eastAsia="it-IT"/>
        </w:rPr>
      </w:pPr>
      <w:r>
        <w:rPr>
          <w:rFonts w:eastAsia="Times New Roman" w:cstheme="minorHAnsi"/>
          <w:bCs/>
          <w:color w:val="232323"/>
          <w:lang w:eastAsia="it-IT"/>
        </w:rPr>
        <w:lastRenderedPageBreak/>
        <w:t>In ogni caso q</w:t>
      </w:r>
      <w:r w:rsidRPr="00C869DB">
        <w:rPr>
          <w:rFonts w:eastAsia="Times New Roman" w:cstheme="minorHAnsi"/>
          <w:bCs/>
          <w:color w:val="232323"/>
          <w:lang w:eastAsia="it-IT"/>
        </w:rPr>
        <w:t xml:space="preserve">uesti sono </w:t>
      </w:r>
      <w:r>
        <w:rPr>
          <w:rFonts w:eastAsia="Times New Roman" w:cstheme="minorHAnsi"/>
          <w:bCs/>
          <w:color w:val="232323"/>
          <w:lang w:eastAsia="it-IT"/>
        </w:rPr>
        <w:t xml:space="preserve">piccoli </w:t>
      </w:r>
      <w:r w:rsidR="00797044">
        <w:rPr>
          <w:rFonts w:eastAsia="Times New Roman" w:cstheme="minorHAnsi"/>
          <w:bCs/>
          <w:color w:val="232323"/>
          <w:lang w:eastAsia="it-IT"/>
        </w:rPr>
        <w:t>passi in avanti</w:t>
      </w:r>
      <w:r w:rsidRPr="00C869DB">
        <w:rPr>
          <w:rFonts w:eastAsia="Times New Roman" w:cstheme="minorHAnsi"/>
          <w:bCs/>
          <w:color w:val="232323"/>
          <w:lang w:eastAsia="it-IT"/>
        </w:rPr>
        <w:t xml:space="preserve"> nello sviluppo di </w:t>
      </w:r>
      <w:r w:rsidR="0099241A">
        <w:rPr>
          <w:rFonts w:eastAsia="Times New Roman" w:cstheme="minorHAnsi"/>
          <w:bCs/>
          <w:color w:val="232323"/>
          <w:lang w:eastAsia="it-IT"/>
        </w:rPr>
        <w:t xml:space="preserve">nuovi </w:t>
      </w:r>
      <w:r w:rsidRPr="00C869DB">
        <w:rPr>
          <w:rFonts w:eastAsia="Times New Roman" w:cstheme="minorHAnsi"/>
          <w:bCs/>
          <w:color w:val="232323"/>
          <w:lang w:eastAsia="it-IT"/>
        </w:rPr>
        <w:t>approcci personalizzati per il trattamento del cancro al seno.</w:t>
      </w:r>
    </w:p>
    <w:p w:rsidR="004E3B9D" w:rsidRDefault="004E3B9D" w:rsidP="006E35C2">
      <w:pPr>
        <w:spacing w:line="240" w:lineRule="auto"/>
        <w:contextualSpacing/>
        <w:jc w:val="both"/>
        <w:rPr>
          <w:rFonts w:eastAsia="Times New Roman" w:cstheme="minorHAnsi"/>
          <w:bCs/>
          <w:color w:val="232323"/>
          <w:lang w:eastAsia="it-IT"/>
        </w:rPr>
      </w:pPr>
    </w:p>
    <w:p w:rsidR="004E3B9D" w:rsidRDefault="004E3B9D" w:rsidP="006E35C2">
      <w:pPr>
        <w:spacing w:line="240" w:lineRule="auto"/>
        <w:contextualSpacing/>
        <w:jc w:val="both"/>
        <w:rPr>
          <w:rFonts w:eastAsia="Times New Roman" w:cstheme="minorHAnsi"/>
          <w:bCs/>
          <w:color w:val="232323"/>
          <w:lang w:eastAsia="it-IT"/>
        </w:rPr>
      </w:pPr>
    </w:p>
    <w:p w:rsidR="004E3B9D" w:rsidRDefault="004E3B9D" w:rsidP="006E35C2">
      <w:pPr>
        <w:spacing w:line="240" w:lineRule="auto"/>
        <w:contextualSpacing/>
        <w:jc w:val="both"/>
        <w:rPr>
          <w:rFonts w:eastAsia="Times New Roman" w:cstheme="minorHAnsi"/>
          <w:bCs/>
          <w:color w:val="232323"/>
          <w:lang w:eastAsia="it-IT"/>
        </w:rPr>
      </w:pPr>
    </w:p>
    <w:p w:rsidR="004E3B9D" w:rsidRPr="00C869DB" w:rsidRDefault="004E3B9D" w:rsidP="006E35C2">
      <w:pPr>
        <w:spacing w:line="240" w:lineRule="auto"/>
        <w:contextualSpacing/>
        <w:jc w:val="both"/>
        <w:rPr>
          <w:rFonts w:eastAsia="Times New Roman" w:cstheme="minorHAnsi"/>
          <w:bCs/>
          <w:color w:val="232323"/>
          <w:lang w:eastAsia="it-IT"/>
        </w:rPr>
      </w:pPr>
    </w:p>
    <w:p w:rsidR="006E35C2" w:rsidRDefault="006E35C2" w:rsidP="006E35C2">
      <w:pPr>
        <w:pBdr>
          <w:bottom w:val="single" w:sz="12" w:space="1" w:color="auto"/>
        </w:pBdr>
        <w:spacing w:line="240" w:lineRule="auto"/>
        <w:contextualSpacing/>
        <w:jc w:val="both"/>
      </w:pPr>
    </w:p>
    <w:p w:rsidR="0011726E" w:rsidRDefault="0011726E" w:rsidP="006E35C2">
      <w:pPr>
        <w:spacing w:line="240" w:lineRule="auto"/>
        <w:contextualSpacing/>
        <w:jc w:val="both"/>
      </w:pPr>
    </w:p>
    <w:p w:rsidR="0011726E" w:rsidRPr="00FC2A03" w:rsidRDefault="0011726E" w:rsidP="006E35C2">
      <w:pPr>
        <w:spacing w:line="240" w:lineRule="auto"/>
        <w:contextualSpacing/>
        <w:jc w:val="both"/>
        <w:rPr>
          <w:rFonts w:cstheme="minorHAnsi"/>
          <w:b/>
          <w:sz w:val="24"/>
          <w:szCs w:val="24"/>
        </w:rPr>
      </w:pPr>
      <w:proofErr w:type="spellStart"/>
      <w:r w:rsidRPr="00FC2A03">
        <w:rPr>
          <w:rFonts w:cstheme="minorHAnsi"/>
          <w:b/>
          <w:color w:val="232323"/>
          <w:sz w:val="24"/>
          <w:szCs w:val="24"/>
          <w:shd w:val="clear" w:color="auto" w:fill="FFFFFF"/>
        </w:rPr>
        <w:t>Adjuvant</w:t>
      </w:r>
      <w:proofErr w:type="spellEnd"/>
      <w:r w:rsidRPr="00FC2A03">
        <w:rPr>
          <w:rFonts w:cstheme="minorHAnsi"/>
          <w:b/>
          <w:color w:val="232323"/>
          <w:sz w:val="24"/>
          <w:szCs w:val="24"/>
          <w:shd w:val="clear" w:color="auto" w:fill="FFFFFF"/>
        </w:rPr>
        <w:t xml:space="preserve"> </w:t>
      </w:r>
      <w:proofErr w:type="spellStart"/>
      <w:r w:rsidRPr="00FC2A03">
        <w:rPr>
          <w:rFonts w:cstheme="minorHAnsi"/>
          <w:b/>
          <w:color w:val="232323"/>
          <w:sz w:val="24"/>
          <w:szCs w:val="24"/>
          <w:shd w:val="clear" w:color="auto" w:fill="FFFFFF"/>
        </w:rPr>
        <w:t>anastrozole</w:t>
      </w:r>
      <w:proofErr w:type="spellEnd"/>
      <w:r w:rsidRPr="00FC2A03">
        <w:rPr>
          <w:rFonts w:cstheme="minorHAnsi"/>
          <w:b/>
          <w:color w:val="232323"/>
          <w:sz w:val="24"/>
          <w:szCs w:val="24"/>
          <w:shd w:val="clear" w:color="auto" w:fill="FFFFFF"/>
        </w:rPr>
        <w:t xml:space="preserve"> versus </w:t>
      </w:r>
      <w:proofErr w:type="spellStart"/>
      <w:r w:rsidRPr="00FC2A03">
        <w:rPr>
          <w:rFonts w:cstheme="minorHAnsi"/>
          <w:b/>
          <w:color w:val="232323"/>
          <w:sz w:val="24"/>
          <w:szCs w:val="24"/>
          <w:shd w:val="clear" w:color="auto" w:fill="FFFFFF"/>
        </w:rPr>
        <w:t>exemestane</w:t>
      </w:r>
      <w:proofErr w:type="spellEnd"/>
      <w:r w:rsidRPr="00FC2A03">
        <w:rPr>
          <w:rFonts w:cstheme="minorHAnsi"/>
          <w:b/>
          <w:color w:val="232323"/>
          <w:sz w:val="24"/>
          <w:szCs w:val="24"/>
          <w:shd w:val="clear" w:color="auto" w:fill="FFFFFF"/>
        </w:rPr>
        <w:t xml:space="preserve"> versus </w:t>
      </w:r>
      <w:proofErr w:type="spellStart"/>
      <w:r w:rsidRPr="00FC2A03">
        <w:rPr>
          <w:rFonts w:cstheme="minorHAnsi"/>
          <w:b/>
          <w:color w:val="232323"/>
          <w:sz w:val="24"/>
          <w:szCs w:val="24"/>
          <w:shd w:val="clear" w:color="auto" w:fill="FFFFFF"/>
        </w:rPr>
        <w:t>letrozole</w:t>
      </w:r>
      <w:proofErr w:type="spellEnd"/>
      <w:r w:rsidRPr="00FC2A03">
        <w:rPr>
          <w:rFonts w:cstheme="minorHAnsi"/>
          <w:b/>
          <w:color w:val="232323"/>
          <w:sz w:val="24"/>
          <w:szCs w:val="24"/>
          <w:shd w:val="clear" w:color="auto" w:fill="FFFFFF"/>
        </w:rPr>
        <w:t xml:space="preserve">, </w:t>
      </w:r>
      <w:proofErr w:type="spellStart"/>
      <w:r w:rsidRPr="00FC2A03">
        <w:rPr>
          <w:rFonts w:cstheme="minorHAnsi"/>
          <w:b/>
          <w:color w:val="232323"/>
          <w:sz w:val="24"/>
          <w:szCs w:val="24"/>
          <w:shd w:val="clear" w:color="auto" w:fill="FFFFFF"/>
        </w:rPr>
        <w:t>upfront</w:t>
      </w:r>
      <w:proofErr w:type="spellEnd"/>
      <w:r w:rsidRPr="00FC2A03">
        <w:rPr>
          <w:rFonts w:cstheme="minorHAnsi"/>
          <w:b/>
          <w:color w:val="232323"/>
          <w:sz w:val="24"/>
          <w:szCs w:val="24"/>
          <w:shd w:val="clear" w:color="auto" w:fill="FFFFFF"/>
        </w:rPr>
        <w:t xml:space="preserve"> or </w:t>
      </w:r>
      <w:proofErr w:type="spellStart"/>
      <w:r w:rsidRPr="00FC2A03">
        <w:rPr>
          <w:rFonts w:cstheme="minorHAnsi"/>
          <w:b/>
          <w:color w:val="232323"/>
          <w:sz w:val="24"/>
          <w:szCs w:val="24"/>
          <w:shd w:val="clear" w:color="auto" w:fill="FFFFFF"/>
        </w:rPr>
        <w:t>after</w:t>
      </w:r>
      <w:proofErr w:type="spellEnd"/>
      <w:r w:rsidRPr="00FC2A03">
        <w:rPr>
          <w:rFonts w:cstheme="minorHAnsi"/>
          <w:b/>
          <w:color w:val="232323"/>
          <w:sz w:val="24"/>
          <w:szCs w:val="24"/>
          <w:shd w:val="clear" w:color="auto" w:fill="FFFFFF"/>
        </w:rPr>
        <w:t xml:space="preserve"> 2 </w:t>
      </w:r>
      <w:proofErr w:type="spellStart"/>
      <w:r w:rsidRPr="00FC2A03">
        <w:rPr>
          <w:rFonts w:cstheme="minorHAnsi"/>
          <w:b/>
          <w:color w:val="232323"/>
          <w:sz w:val="24"/>
          <w:szCs w:val="24"/>
          <w:shd w:val="clear" w:color="auto" w:fill="FFFFFF"/>
        </w:rPr>
        <w:t>years</w:t>
      </w:r>
      <w:proofErr w:type="spellEnd"/>
      <w:r w:rsidRPr="00FC2A03">
        <w:rPr>
          <w:rFonts w:cstheme="minorHAnsi"/>
          <w:b/>
          <w:color w:val="232323"/>
          <w:sz w:val="24"/>
          <w:szCs w:val="24"/>
          <w:shd w:val="clear" w:color="auto" w:fill="FFFFFF"/>
        </w:rPr>
        <w:t xml:space="preserve"> of </w:t>
      </w:r>
      <w:proofErr w:type="spellStart"/>
      <w:r w:rsidRPr="00FC2A03">
        <w:rPr>
          <w:rFonts w:cstheme="minorHAnsi"/>
          <w:b/>
          <w:color w:val="232323"/>
          <w:sz w:val="24"/>
          <w:szCs w:val="24"/>
          <w:shd w:val="clear" w:color="auto" w:fill="FFFFFF"/>
        </w:rPr>
        <w:t>tamoxifen</w:t>
      </w:r>
      <w:proofErr w:type="spellEnd"/>
      <w:r w:rsidRPr="00FC2A03">
        <w:rPr>
          <w:rFonts w:cstheme="minorHAnsi"/>
          <w:b/>
          <w:color w:val="232323"/>
          <w:sz w:val="24"/>
          <w:szCs w:val="24"/>
          <w:shd w:val="clear" w:color="auto" w:fill="FFFFFF"/>
        </w:rPr>
        <w:t xml:space="preserve">, in endocrine-sensitive </w:t>
      </w:r>
      <w:proofErr w:type="spellStart"/>
      <w:r w:rsidRPr="00FC2A03">
        <w:rPr>
          <w:rFonts w:cstheme="minorHAnsi"/>
          <w:b/>
          <w:color w:val="232323"/>
          <w:sz w:val="24"/>
          <w:szCs w:val="24"/>
          <w:shd w:val="clear" w:color="auto" w:fill="FFFFFF"/>
        </w:rPr>
        <w:t>breast</w:t>
      </w:r>
      <w:proofErr w:type="spellEnd"/>
      <w:r w:rsidRPr="00FC2A03">
        <w:rPr>
          <w:rFonts w:cstheme="minorHAnsi"/>
          <w:b/>
          <w:color w:val="232323"/>
          <w:sz w:val="24"/>
          <w:szCs w:val="24"/>
          <w:shd w:val="clear" w:color="auto" w:fill="FFFFFF"/>
        </w:rPr>
        <w:t xml:space="preserve"> </w:t>
      </w:r>
      <w:proofErr w:type="spellStart"/>
      <w:r w:rsidRPr="00FC2A03">
        <w:rPr>
          <w:rFonts w:cstheme="minorHAnsi"/>
          <w:b/>
          <w:color w:val="232323"/>
          <w:sz w:val="24"/>
          <w:szCs w:val="24"/>
          <w:shd w:val="clear" w:color="auto" w:fill="FFFFFF"/>
        </w:rPr>
        <w:t>cancer</w:t>
      </w:r>
      <w:proofErr w:type="spellEnd"/>
      <w:r w:rsidRPr="00FC2A03">
        <w:rPr>
          <w:rFonts w:cstheme="minorHAnsi"/>
          <w:b/>
          <w:color w:val="232323"/>
          <w:sz w:val="24"/>
          <w:szCs w:val="24"/>
          <w:shd w:val="clear" w:color="auto" w:fill="FFFFFF"/>
        </w:rPr>
        <w:t xml:space="preserve"> (FATA-GIM3): a </w:t>
      </w:r>
      <w:proofErr w:type="spellStart"/>
      <w:r w:rsidRPr="00FC2A03">
        <w:rPr>
          <w:rFonts w:cstheme="minorHAnsi"/>
          <w:b/>
          <w:color w:val="232323"/>
          <w:sz w:val="24"/>
          <w:szCs w:val="24"/>
          <w:shd w:val="clear" w:color="auto" w:fill="FFFFFF"/>
        </w:rPr>
        <w:t>randomised</w:t>
      </w:r>
      <w:proofErr w:type="spellEnd"/>
      <w:r w:rsidRPr="00FC2A03">
        <w:rPr>
          <w:rFonts w:cstheme="minorHAnsi"/>
          <w:b/>
          <w:color w:val="232323"/>
          <w:sz w:val="24"/>
          <w:szCs w:val="24"/>
          <w:shd w:val="clear" w:color="auto" w:fill="FFFFFF"/>
        </w:rPr>
        <w:t xml:space="preserve">, </w:t>
      </w:r>
      <w:proofErr w:type="spellStart"/>
      <w:r w:rsidRPr="00FC2A03">
        <w:rPr>
          <w:rFonts w:cstheme="minorHAnsi"/>
          <w:b/>
          <w:color w:val="232323"/>
          <w:sz w:val="24"/>
          <w:szCs w:val="24"/>
          <w:shd w:val="clear" w:color="auto" w:fill="FFFFFF"/>
        </w:rPr>
        <w:t>phase</w:t>
      </w:r>
      <w:proofErr w:type="spellEnd"/>
      <w:r w:rsidRPr="00FC2A03">
        <w:rPr>
          <w:rFonts w:cstheme="minorHAnsi"/>
          <w:b/>
          <w:color w:val="232323"/>
          <w:sz w:val="24"/>
          <w:szCs w:val="24"/>
          <w:shd w:val="clear" w:color="auto" w:fill="FFFFFF"/>
        </w:rPr>
        <w:t xml:space="preserve"> 3 trial.</w:t>
      </w:r>
    </w:p>
    <w:p w:rsidR="00FC2A03" w:rsidRDefault="0011726E" w:rsidP="006E35C2">
      <w:pPr>
        <w:spacing w:line="240" w:lineRule="auto"/>
        <w:contextualSpacing/>
        <w:jc w:val="both"/>
        <w:rPr>
          <w:rFonts w:cstheme="minorHAnsi"/>
          <w:color w:val="232323"/>
          <w:sz w:val="24"/>
          <w:szCs w:val="24"/>
          <w:shd w:val="clear" w:color="auto" w:fill="FFFFFF"/>
        </w:rPr>
      </w:pPr>
      <w:r w:rsidRPr="00FC2A03">
        <w:rPr>
          <w:rFonts w:cstheme="minorHAnsi"/>
          <w:i/>
          <w:color w:val="232323"/>
          <w:sz w:val="24"/>
          <w:szCs w:val="24"/>
          <w:shd w:val="clear" w:color="auto" w:fill="FFFFFF"/>
        </w:rPr>
        <w:t xml:space="preserve">De Placido S, Gallo C, De Laurentiis M, </w:t>
      </w:r>
      <w:proofErr w:type="spellStart"/>
      <w:r w:rsidRPr="00FC2A03">
        <w:rPr>
          <w:rFonts w:cstheme="minorHAnsi"/>
          <w:i/>
          <w:color w:val="232323"/>
          <w:sz w:val="24"/>
          <w:szCs w:val="24"/>
          <w:shd w:val="clear" w:color="auto" w:fill="FFFFFF"/>
        </w:rPr>
        <w:t>Bisagni</w:t>
      </w:r>
      <w:proofErr w:type="spellEnd"/>
      <w:r w:rsidRPr="00FC2A03">
        <w:rPr>
          <w:rFonts w:cstheme="minorHAnsi"/>
          <w:i/>
          <w:color w:val="232323"/>
          <w:sz w:val="24"/>
          <w:szCs w:val="24"/>
          <w:shd w:val="clear" w:color="auto" w:fill="FFFFFF"/>
        </w:rPr>
        <w:t xml:space="preserve"> G, Arpino G, </w:t>
      </w:r>
      <w:proofErr w:type="spellStart"/>
      <w:r w:rsidRPr="00FC2A03">
        <w:rPr>
          <w:rFonts w:cstheme="minorHAnsi"/>
          <w:i/>
          <w:color w:val="232323"/>
          <w:sz w:val="24"/>
          <w:szCs w:val="24"/>
          <w:shd w:val="clear" w:color="auto" w:fill="FFFFFF"/>
        </w:rPr>
        <w:t>Sarobba</w:t>
      </w:r>
      <w:proofErr w:type="spellEnd"/>
      <w:r w:rsidRPr="00FC2A03">
        <w:rPr>
          <w:rFonts w:cstheme="minorHAnsi"/>
          <w:i/>
          <w:color w:val="232323"/>
          <w:sz w:val="24"/>
          <w:szCs w:val="24"/>
          <w:shd w:val="clear" w:color="auto" w:fill="FFFFFF"/>
        </w:rPr>
        <w:t xml:space="preserve"> MG, Riccardi F, Russo A, Del Mastro L, </w:t>
      </w:r>
      <w:proofErr w:type="spellStart"/>
      <w:r w:rsidRPr="00FC2A03">
        <w:rPr>
          <w:rFonts w:cstheme="minorHAnsi"/>
          <w:i/>
          <w:color w:val="232323"/>
          <w:sz w:val="24"/>
          <w:szCs w:val="24"/>
          <w:shd w:val="clear" w:color="auto" w:fill="FFFFFF"/>
        </w:rPr>
        <w:t>Cogoni</w:t>
      </w:r>
      <w:proofErr w:type="spellEnd"/>
      <w:r w:rsidRPr="00FC2A03">
        <w:rPr>
          <w:rFonts w:cstheme="minorHAnsi"/>
          <w:i/>
          <w:color w:val="232323"/>
          <w:sz w:val="24"/>
          <w:szCs w:val="24"/>
          <w:shd w:val="clear" w:color="auto" w:fill="FFFFFF"/>
        </w:rPr>
        <w:t xml:space="preserve"> AA, Cognetti F, </w:t>
      </w:r>
      <w:proofErr w:type="spellStart"/>
      <w:r w:rsidRPr="00FC2A03">
        <w:rPr>
          <w:rFonts w:cstheme="minorHAnsi"/>
          <w:i/>
          <w:color w:val="232323"/>
          <w:sz w:val="24"/>
          <w:szCs w:val="24"/>
          <w:shd w:val="clear" w:color="auto" w:fill="FFFFFF"/>
        </w:rPr>
        <w:t>Gori</w:t>
      </w:r>
      <w:proofErr w:type="spellEnd"/>
      <w:r w:rsidRPr="00FC2A03">
        <w:rPr>
          <w:rFonts w:cstheme="minorHAnsi"/>
          <w:i/>
          <w:color w:val="232323"/>
          <w:sz w:val="24"/>
          <w:szCs w:val="24"/>
          <w:shd w:val="clear" w:color="auto" w:fill="FFFFFF"/>
        </w:rPr>
        <w:t xml:space="preserve"> S, Foglietta J, </w:t>
      </w:r>
      <w:proofErr w:type="spellStart"/>
      <w:r w:rsidRPr="00FC2A03">
        <w:rPr>
          <w:rFonts w:cstheme="minorHAnsi"/>
          <w:i/>
          <w:color w:val="232323"/>
          <w:sz w:val="24"/>
          <w:szCs w:val="24"/>
          <w:shd w:val="clear" w:color="auto" w:fill="FFFFFF"/>
        </w:rPr>
        <w:t>Frassoldati</w:t>
      </w:r>
      <w:proofErr w:type="spellEnd"/>
      <w:r w:rsidRPr="00FC2A03">
        <w:rPr>
          <w:rFonts w:cstheme="minorHAnsi"/>
          <w:i/>
          <w:color w:val="232323"/>
          <w:sz w:val="24"/>
          <w:szCs w:val="24"/>
          <w:shd w:val="clear" w:color="auto" w:fill="FFFFFF"/>
        </w:rPr>
        <w:t xml:space="preserve"> A, Amoroso D, Laudadio L, </w:t>
      </w:r>
      <w:proofErr w:type="spellStart"/>
      <w:r w:rsidRPr="00FC2A03">
        <w:rPr>
          <w:rFonts w:cstheme="minorHAnsi"/>
          <w:i/>
          <w:color w:val="232323"/>
          <w:sz w:val="24"/>
          <w:szCs w:val="24"/>
          <w:shd w:val="clear" w:color="auto" w:fill="FFFFFF"/>
        </w:rPr>
        <w:t>Moscetti</w:t>
      </w:r>
      <w:proofErr w:type="spellEnd"/>
      <w:r w:rsidRPr="00FC2A03">
        <w:rPr>
          <w:rFonts w:cstheme="minorHAnsi"/>
          <w:i/>
          <w:color w:val="232323"/>
          <w:sz w:val="24"/>
          <w:szCs w:val="24"/>
          <w:shd w:val="clear" w:color="auto" w:fill="FFFFFF"/>
        </w:rPr>
        <w:t xml:space="preserve"> L, Montemurro F, </w:t>
      </w:r>
      <w:proofErr w:type="spellStart"/>
      <w:r w:rsidRPr="00FC2A03">
        <w:rPr>
          <w:rFonts w:cstheme="minorHAnsi"/>
          <w:i/>
          <w:color w:val="232323"/>
          <w:sz w:val="24"/>
          <w:szCs w:val="24"/>
          <w:shd w:val="clear" w:color="auto" w:fill="FFFFFF"/>
        </w:rPr>
        <w:t>Verusio</w:t>
      </w:r>
      <w:proofErr w:type="spellEnd"/>
      <w:r w:rsidRPr="00FC2A03">
        <w:rPr>
          <w:rFonts w:cstheme="minorHAnsi"/>
          <w:i/>
          <w:color w:val="232323"/>
          <w:sz w:val="24"/>
          <w:szCs w:val="24"/>
          <w:shd w:val="clear" w:color="auto" w:fill="FFFFFF"/>
        </w:rPr>
        <w:t xml:space="preserve"> C, Bernardo A, Lorusso V, Gravina A, Moretti G, Lauria R, Lai A, </w:t>
      </w:r>
      <w:proofErr w:type="spellStart"/>
      <w:r w:rsidRPr="00FC2A03">
        <w:rPr>
          <w:rFonts w:cstheme="minorHAnsi"/>
          <w:i/>
          <w:color w:val="232323"/>
          <w:sz w:val="24"/>
          <w:szCs w:val="24"/>
          <w:shd w:val="clear" w:color="auto" w:fill="FFFFFF"/>
        </w:rPr>
        <w:t>Mocerino</w:t>
      </w:r>
      <w:proofErr w:type="spellEnd"/>
      <w:r w:rsidRPr="00FC2A03">
        <w:rPr>
          <w:rFonts w:cstheme="minorHAnsi"/>
          <w:i/>
          <w:color w:val="232323"/>
          <w:sz w:val="24"/>
          <w:szCs w:val="24"/>
          <w:shd w:val="clear" w:color="auto" w:fill="FFFFFF"/>
        </w:rPr>
        <w:t xml:space="preserve"> C, Rizzo S, Nuzzo F, Carlini P, Perrone F.  </w:t>
      </w:r>
      <w:r w:rsidRPr="00FC2A03">
        <w:rPr>
          <w:rFonts w:cstheme="minorHAnsi"/>
          <w:color w:val="232323"/>
          <w:sz w:val="24"/>
          <w:szCs w:val="24"/>
          <w:shd w:val="clear" w:color="auto" w:fill="FFFFFF"/>
        </w:rPr>
        <w:t> </w:t>
      </w:r>
    </w:p>
    <w:p w:rsidR="0011726E" w:rsidRPr="00FC2A03" w:rsidRDefault="0011726E" w:rsidP="006E35C2">
      <w:pPr>
        <w:spacing w:line="240" w:lineRule="auto"/>
        <w:contextualSpacing/>
        <w:jc w:val="both"/>
        <w:rPr>
          <w:rFonts w:cstheme="minorHAnsi"/>
          <w:b/>
          <w:color w:val="232323"/>
          <w:sz w:val="24"/>
          <w:szCs w:val="24"/>
          <w:shd w:val="clear" w:color="auto" w:fill="FFFFFF"/>
        </w:rPr>
      </w:pPr>
      <w:r w:rsidRPr="00FC2A03">
        <w:rPr>
          <w:rFonts w:cstheme="minorHAnsi"/>
          <w:b/>
          <w:color w:val="232323"/>
          <w:sz w:val="24"/>
          <w:szCs w:val="24"/>
          <w:shd w:val="clear" w:color="auto" w:fill="FFFFFF"/>
        </w:rPr>
        <w:t xml:space="preserve">Lancet </w:t>
      </w:r>
      <w:proofErr w:type="spellStart"/>
      <w:r w:rsidRPr="00FC2A03">
        <w:rPr>
          <w:rFonts w:cstheme="minorHAnsi"/>
          <w:b/>
          <w:color w:val="232323"/>
          <w:sz w:val="24"/>
          <w:szCs w:val="24"/>
          <w:shd w:val="clear" w:color="auto" w:fill="FFFFFF"/>
        </w:rPr>
        <w:t>Oncol</w:t>
      </w:r>
      <w:proofErr w:type="spellEnd"/>
      <w:r w:rsidRPr="00FC2A03">
        <w:rPr>
          <w:rFonts w:cstheme="minorHAnsi"/>
          <w:b/>
          <w:color w:val="232323"/>
          <w:sz w:val="24"/>
          <w:szCs w:val="24"/>
          <w:shd w:val="clear" w:color="auto" w:fill="FFFFFF"/>
        </w:rPr>
        <w:t xml:space="preserve">. 2018 </w:t>
      </w:r>
      <w:proofErr w:type="spellStart"/>
      <w:r w:rsidRPr="00FC2A03">
        <w:rPr>
          <w:rFonts w:cstheme="minorHAnsi"/>
          <w:b/>
          <w:color w:val="232323"/>
          <w:sz w:val="24"/>
          <w:szCs w:val="24"/>
          <w:shd w:val="clear" w:color="auto" w:fill="FFFFFF"/>
        </w:rPr>
        <w:t>Feb</w:t>
      </w:r>
      <w:proofErr w:type="spellEnd"/>
      <w:r w:rsidRPr="00FC2A03">
        <w:rPr>
          <w:rFonts w:cstheme="minorHAnsi"/>
          <w:b/>
          <w:color w:val="232323"/>
          <w:sz w:val="24"/>
          <w:szCs w:val="24"/>
          <w:shd w:val="clear" w:color="auto" w:fill="FFFFFF"/>
        </w:rPr>
        <w:t xml:space="preserve"> 23 [</w:t>
      </w:r>
      <w:proofErr w:type="spellStart"/>
      <w:r w:rsidRPr="00FC2A03">
        <w:rPr>
          <w:rFonts w:cstheme="minorHAnsi"/>
          <w:b/>
          <w:color w:val="232323"/>
          <w:sz w:val="24"/>
          <w:szCs w:val="24"/>
          <w:shd w:val="clear" w:color="auto" w:fill="FFFFFF"/>
        </w:rPr>
        <w:t>Epub</w:t>
      </w:r>
      <w:proofErr w:type="spellEnd"/>
      <w:r w:rsidRPr="00FC2A03">
        <w:rPr>
          <w:rFonts w:cstheme="minorHAnsi"/>
          <w:b/>
          <w:color w:val="232323"/>
          <w:sz w:val="24"/>
          <w:szCs w:val="24"/>
          <w:shd w:val="clear" w:color="auto" w:fill="FFFFFF"/>
        </w:rPr>
        <w:t xml:space="preserve"> </w:t>
      </w:r>
      <w:proofErr w:type="spellStart"/>
      <w:r w:rsidRPr="00FC2A03">
        <w:rPr>
          <w:rFonts w:cstheme="minorHAnsi"/>
          <w:b/>
          <w:color w:val="232323"/>
          <w:sz w:val="24"/>
          <w:szCs w:val="24"/>
          <w:shd w:val="clear" w:color="auto" w:fill="FFFFFF"/>
        </w:rPr>
        <w:t>ahead</w:t>
      </w:r>
      <w:proofErr w:type="spellEnd"/>
      <w:r w:rsidRPr="00FC2A03">
        <w:rPr>
          <w:rFonts w:cstheme="minorHAnsi"/>
          <w:b/>
          <w:color w:val="232323"/>
          <w:sz w:val="24"/>
          <w:szCs w:val="24"/>
          <w:shd w:val="clear" w:color="auto" w:fill="FFFFFF"/>
        </w:rPr>
        <w:t xml:space="preserve"> of </w:t>
      </w:r>
      <w:proofErr w:type="spellStart"/>
      <w:r w:rsidRPr="00FC2A03">
        <w:rPr>
          <w:rFonts w:cstheme="minorHAnsi"/>
          <w:b/>
          <w:color w:val="232323"/>
          <w:sz w:val="24"/>
          <w:szCs w:val="24"/>
          <w:shd w:val="clear" w:color="auto" w:fill="FFFFFF"/>
        </w:rPr>
        <w:t>print</w:t>
      </w:r>
      <w:proofErr w:type="spellEnd"/>
      <w:r w:rsidRPr="00FC2A03">
        <w:rPr>
          <w:rFonts w:cstheme="minorHAnsi"/>
          <w:b/>
          <w:color w:val="232323"/>
          <w:sz w:val="24"/>
          <w:szCs w:val="24"/>
          <w:shd w:val="clear" w:color="auto" w:fill="FFFFFF"/>
        </w:rPr>
        <w:t xml:space="preserve">]. </w:t>
      </w:r>
      <w:proofErr w:type="spellStart"/>
      <w:r w:rsidRPr="00FC2A03">
        <w:rPr>
          <w:rFonts w:cstheme="minorHAnsi"/>
          <w:b/>
          <w:color w:val="232323"/>
          <w:sz w:val="24"/>
          <w:szCs w:val="24"/>
          <w:shd w:val="clear" w:color="auto" w:fill="FFFFFF"/>
        </w:rPr>
        <w:t>doi</w:t>
      </w:r>
      <w:proofErr w:type="spellEnd"/>
      <w:r w:rsidRPr="00FC2A03">
        <w:rPr>
          <w:rFonts w:cstheme="minorHAnsi"/>
          <w:b/>
          <w:color w:val="232323"/>
          <w:sz w:val="24"/>
          <w:szCs w:val="24"/>
          <w:shd w:val="clear" w:color="auto" w:fill="FFFFFF"/>
        </w:rPr>
        <w:t xml:space="preserve">: 10.1016/S1470-2045(18)30116-5. </w:t>
      </w:r>
    </w:p>
    <w:p w:rsidR="00EA5121" w:rsidRDefault="00EA5121" w:rsidP="004F6BCB">
      <w:pPr>
        <w:pStyle w:val="NormaleWeb"/>
        <w:shd w:val="clear" w:color="auto" w:fill="FFFFFF"/>
        <w:contextualSpacing/>
        <w:jc w:val="both"/>
        <w:rPr>
          <w:rStyle w:val="Enfasigrassetto"/>
          <w:rFonts w:asciiTheme="minorHAnsi" w:hAnsiTheme="minorHAnsi" w:cstheme="minorHAnsi"/>
          <w:color w:val="232323"/>
          <w:sz w:val="22"/>
          <w:szCs w:val="22"/>
        </w:rPr>
      </w:pPr>
      <w:r w:rsidRPr="00EA5121">
        <w:rPr>
          <w:rStyle w:val="Enfasigrassetto"/>
          <w:rFonts w:asciiTheme="minorHAnsi" w:hAnsiTheme="minorHAnsi" w:cstheme="minorHAnsi"/>
          <w:color w:val="232323"/>
          <w:sz w:val="22"/>
          <w:szCs w:val="22"/>
        </w:rPr>
        <w:t>Obiettivo educazionale</w:t>
      </w:r>
    </w:p>
    <w:p w:rsidR="00FC2A03" w:rsidRPr="00FC2A03" w:rsidRDefault="00EA5121" w:rsidP="004F6BCB">
      <w:pPr>
        <w:pStyle w:val="NormaleWeb"/>
        <w:shd w:val="clear" w:color="auto" w:fill="FFFFFF"/>
        <w:contextualSpacing/>
        <w:jc w:val="both"/>
        <w:rPr>
          <w:rStyle w:val="Enfasigrassetto"/>
          <w:rFonts w:asciiTheme="minorHAnsi" w:hAnsiTheme="minorHAnsi" w:cstheme="minorHAnsi"/>
          <w:b w:val="0"/>
          <w:color w:val="232323"/>
          <w:sz w:val="22"/>
          <w:szCs w:val="22"/>
        </w:rPr>
      </w:pPr>
      <w:r w:rsidRPr="00FC2A03">
        <w:rPr>
          <w:rStyle w:val="Enfasigrassetto"/>
          <w:rFonts w:asciiTheme="minorHAnsi" w:hAnsiTheme="minorHAnsi" w:cstheme="minorHAnsi"/>
          <w:b w:val="0"/>
          <w:color w:val="232323"/>
          <w:sz w:val="22"/>
          <w:szCs w:val="22"/>
        </w:rPr>
        <w:t>Esistono ancora molte incertezze su quale sia la terapia ormonale adiuvante ottimale in donne con tumore mammario in fase iniziale, in post menopausa con recettori ormonali positiv</w:t>
      </w:r>
      <w:r w:rsidR="00D32D9E" w:rsidRPr="00FC2A03">
        <w:rPr>
          <w:rStyle w:val="Enfasigrassetto"/>
          <w:rFonts w:asciiTheme="minorHAnsi" w:hAnsiTheme="minorHAnsi" w:cstheme="minorHAnsi"/>
          <w:b w:val="0"/>
          <w:color w:val="232323"/>
          <w:sz w:val="22"/>
          <w:szCs w:val="22"/>
        </w:rPr>
        <w:t>i</w:t>
      </w:r>
      <w:r w:rsidRPr="00FC2A03">
        <w:rPr>
          <w:rStyle w:val="Enfasigrassetto"/>
          <w:rFonts w:asciiTheme="minorHAnsi" w:hAnsiTheme="minorHAnsi" w:cstheme="minorHAnsi"/>
          <w:b w:val="0"/>
          <w:color w:val="232323"/>
          <w:sz w:val="22"/>
          <w:szCs w:val="22"/>
        </w:rPr>
        <w:t xml:space="preserve">, e sul ruolo dei diversi inibitori delle </w:t>
      </w:r>
      <w:proofErr w:type="spellStart"/>
      <w:r w:rsidRPr="00FC2A03">
        <w:rPr>
          <w:rStyle w:val="Enfasigrassetto"/>
          <w:rFonts w:asciiTheme="minorHAnsi" w:hAnsiTheme="minorHAnsi" w:cstheme="minorHAnsi"/>
          <w:b w:val="0"/>
          <w:color w:val="232323"/>
          <w:sz w:val="22"/>
          <w:szCs w:val="22"/>
        </w:rPr>
        <w:t>aromatasi</w:t>
      </w:r>
      <w:proofErr w:type="spellEnd"/>
      <w:r w:rsidRPr="00FC2A03">
        <w:rPr>
          <w:rStyle w:val="Enfasigrassetto"/>
          <w:rFonts w:asciiTheme="minorHAnsi" w:hAnsiTheme="minorHAnsi" w:cstheme="minorHAnsi"/>
          <w:b w:val="0"/>
          <w:color w:val="232323"/>
          <w:sz w:val="22"/>
          <w:szCs w:val="22"/>
        </w:rPr>
        <w:t>, mai comparati tra loro in una stessa sperimentazione di confronto.</w:t>
      </w:r>
    </w:p>
    <w:p w:rsidR="00F71FB7" w:rsidRDefault="00D32D9E" w:rsidP="004F6BCB">
      <w:pPr>
        <w:pStyle w:val="NormaleWeb"/>
        <w:shd w:val="clear" w:color="auto" w:fill="FFFFFF"/>
        <w:contextualSpacing/>
        <w:jc w:val="both"/>
        <w:rPr>
          <w:rFonts w:asciiTheme="minorHAnsi" w:hAnsiTheme="minorHAnsi" w:cstheme="minorHAnsi"/>
          <w:color w:val="000000"/>
          <w:sz w:val="22"/>
          <w:szCs w:val="22"/>
        </w:rPr>
      </w:pPr>
      <w:r w:rsidRPr="00FC2A03">
        <w:rPr>
          <w:rStyle w:val="Enfasigrassetto"/>
          <w:rFonts w:asciiTheme="minorHAnsi" w:hAnsiTheme="minorHAnsi" w:cstheme="minorHAnsi"/>
          <w:b w:val="0"/>
          <w:color w:val="232323"/>
          <w:sz w:val="22"/>
          <w:szCs w:val="22"/>
        </w:rPr>
        <w:t>In questo ambito lo</w:t>
      </w:r>
      <w:r w:rsidR="00EA5121" w:rsidRPr="00FC2A03">
        <w:rPr>
          <w:rStyle w:val="Enfasigrassetto"/>
          <w:rFonts w:asciiTheme="minorHAnsi" w:hAnsiTheme="minorHAnsi" w:cstheme="minorHAnsi"/>
          <w:b w:val="0"/>
          <w:color w:val="232323"/>
          <w:sz w:val="22"/>
          <w:szCs w:val="22"/>
        </w:rPr>
        <w:t xml:space="preserve"> </w:t>
      </w:r>
      <w:r w:rsidR="00EA5121" w:rsidRPr="00FC2A03">
        <w:rPr>
          <w:rFonts w:asciiTheme="minorHAnsi" w:hAnsiTheme="minorHAnsi" w:cstheme="minorHAnsi"/>
          <w:color w:val="232323"/>
          <w:sz w:val="22"/>
          <w:szCs w:val="22"/>
        </w:rPr>
        <w:t>studio randomizzato di fase 3</w:t>
      </w:r>
      <w:r w:rsidR="00FC2A03">
        <w:rPr>
          <w:rFonts w:asciiTheme="minorHAnsi" w:hAnsiTheme="minorHAnsi" w:cstheme="minorHAnsi"/>
          <w:color w:val="232323"/>
          <w:sz w:val="22"/>
          <w:szCs w:val="22"/>
        </w:rPr>
        <w:t xml:space="preserve"> multicentrico, in aperto,</w:t>
      </w:r>
      <w:r w:rsidR="00EA5121" w:rsidRPr="00FC2A03">
        <w:rPr>
          <w:rFonts w:asciiTheme="minorHAnsi" w:hAnsiTheme="minorHAnsi" w:cstheme="minorHAnsi"/>
          <w:color w:val="232323"/>
          <w:sz w:val="22"/>
          <w:szCs w:val="22"/>
        </w:rPr>
        <w:t xml:space="preserve"> denominato  FATA-GIM3</w:t>
      </w:r>
      <w:r w:rsidR="00FC2A03" w:rsidRPr="00FC2A03">
        <w:rPr>
          <w:rFonts w:asciiTheme="minorHAnsi" w:hAnsiTheme="minorHAnsi" w:cstheme="minorHAnsi"/>
          <w:color w:val="232323"/>
          <w:sz w:val="22"/>
          <w:szCs w:val="22"/>
        </w:rPr>
        <w:t>, tutto italiano e finanziato dall’ Agenzia Italiana del Farmaco,</w:t>
      </w:r>
      <w:r w:rsidRPr="00FC2A03">
        <w:rPr>
          <w:rFonts w:asciiTheme="minorHAnsi" w:hAnsiTheme="minorHAnsi" w:cstheme="minorHAnsi"/>
          <w:color w:val="232323"/>
          <w:sz w:val="22"/>
          <w:szCs w:val="22"/>
        </w:rPr>
        <w:t xml:space="preserve"> ha voluto indagare quale schedula di somministrazione e quale inibitore delle </w:t>
      </w:r>
      <w:proofErr w:type="spellStart"/>
      <w:r w:rsidRPr="00FC2A03">
        <w:rPr>
          <w:rFonts w:asciiTheme="minorHAnsi" w:hAnsiTheme="minorHAnsi" w:cstheme="minorHAnsi"/>
          <w:color w:val="232323"/>
          <w:sz w:val="22"/>
          <w:szCs w:val="22"/>
        </w:rPr>
        <w:t>aromatasi</w:t>
      </w:r>
      <w:proofErr w:type="spellEnd"/>
      <w:r w:rsidRPr="00FC2A03">
        <w:rPr>
          <w:rFonts w:asciiTheme="minorHAnsi" w:hAnsiTheme="minorHAnsi" w:cstheme="minorHAnsi"/>
          <w:color w:val="232323"/>
          <w:sz w:val="22"/>
          <w:szCs w:val="22"/>
        </w:rPr>
        <w:t xml:space="preserve"> fosse preferibile in questa categoria di pazienti. A tale scopo </w:t>
      </w:r>
      <w:r w:rsidR="00EF0FE6">
        <w:rPr>
          <w:rFonts w:asciiTheme="minorHAnsi" w:hAnsiTheme="minorHAnsi" w:cstheme="minorHAnsi"/>
          <w:color w:val="232323"/>
          <w:sz w:val="22"/>
          <w:szCs w:val="22"/>
        </w:rPr>
        <w:t xml:space="preserve">le </w:t>
      </w:r>
      <w:r w:rsidR="00EA5121" w:rsidRPr="00FC2A03">
        <w:rPr>
          <w:rFonts w:asciiTheme="minorHAnsi" w:hAnsiTheme="minorHAnsi" w:cstheme="minorHAnsi"/>
          <w:color w:val="232323"/>
          <w:sz w:val="22"/>
          <w:szCs w:val="22"/>
        </w:rPr>
        <w:t>pazienti con carcinoma mammario s</w:t>
      </w:r>
      <w:r w:rsidRPr="00FC2A03">
        <w:rPr>
          <w:rFonts w:asciiTheme="minorHAnsi" w:hAnsiTheme="minorHAnsi" w:cstheme="minorHAnsi"/>
          <w:color w:val="232323"/>
          <w:sz w:val="22"/>
          <w:szCs w:val="22"/>
        </w:rPr>
        <w:t>ensibile alla terapia endocrina</w:t>
      </w:r>
      <w:r w:rsidR="00FC2A03">
        <w:rPr>
          <w:rFonts w:asciiTheme="minorHAnsi" w:hAnsiTheme="minorHAnsi" w:cstheme="minorHAnsi"/>
          <w:color w:val="232323"/>
          <w:sz w:val="22"/>
          <w:szCs w:val="22"/>
        </w:rPr>
        <w:t xml:space="preserve">, </w:t>
      </w:r>
      <w:r w:rsidR="00FC2A03" w:rsidRPr="00F71FB7">
        <w:rPr>
          <w:rFonts w:asciiTheme="minorHAnsi" w:hAnsiTheme="minorHAnsi" w:cstheme="minorHAnsi"/>
          <w:color w:val="000000"/>
          <w:sz w:val="22"/>
          <w:szCs w:val="22"/>
        </w:rPr>
        <w:t xml:space="preserve">istologicamente confermato </w:t>
      </w:r>
      <w:r w:rsidR="00F71FB7" w:rsidRPr="00F71FB7">
        <w:rPr>
          <w:rFonts w:asciiTheme="minorHAnsi" w:hAnsiTheme="minorHAnsi" w:cstheme="minorHAnsi"/>
          <w:color w:val="000000"/>
          <w:sz w:val="22"/>
          <w:szCs w:val="22"/>
        </w:rPr>
        <w:t>e</w:t>
      </w:r>
      <w:r w:rsidR="00FC2A03" w:rsidRPr="00F71FB7">
        <w:rPr>
          <w:rFonts w:asciiTheme="minorHAnsi" w:hAnsiTheme="minorHAnsi" w:cstheme="minorHAnsi"/>
          <w:color w:val="000000"/>
          <w:sz w:val="22"/>
          <w:szCs w:val="22"/>
        </w:rPr>
        <w:t xml:space="preserve"> completamente rimosso chirurgicamente, </w:t>
      </w:r>
      <w:r w:rsidR="00F71FB7" w:rsidRPr="00F71FB7">
        <w:rPr>
          <w:rFonts w:asciiTheme="minorHAnsi" w:hAnsiTheme="minorHAnsi" w:cstheme="minorHAnsi"/>
          <w:color w:val="000000"/>
          <w:sz w:val="22"/>
          <w:szCs w:val="22"/>
        </w:rPr>
        <w:t xml:space="preserve"> di qualsiasi dimensione e</w:t>
      </w:r>
      <w:r w:rsidR="00FC2A03" w:rsidRPr="00F71FB7">
        <w:rPr>
          <w:rFonts w:asciiTheme="minorHAnsi" w:hAnsiTheme="minorHAnsi" w:cstheme="minorHAnsi"/>
          <w:color w:val="000000"/>
          <w:sz w:val="22"/>
          <w:szCs w:val="22"/>
        </w:rPr>
        <w:t xml:space="preserve"> </w:t>
      </w:r>
      <w:r w:rsidR="00F71FB7" w:rsidRPr="00F71FB7">
        <w:rPr>
          <w:rFonts w:asciiTheme="minorHAnsi" w:hAnsiTheme="minorHAnsi" w:cstheme="minorHAnsi"/>
          <w:color w:val="000000"/>
          <w:sz w:val="22"/>
          <w:szCs w:val="22"/>
        </w:rPr>
        <w:t xml:space="preserve">con </w:t>
      </w:r>
      <w:r w:rsidR="00FC2A03" w:rsidRPr="00F71FB7">
        <w:rPr>
          <w:rFonts w:asciiTheme="minorHAnsi" w:hAnsiTheme="minorHAnsi" w:cstheme="minorHAnsi"/>
          <w:color w:val="000000"/>
          <w:sz w:val="22"/>
          <w:szCs w:val="22"/>
        </w:rPr>
        <w:t>stato linfonodale ascellare</w:t>
      </w:r>
      <w:r w:rsidRPr="00F71FB7">
        <w:rPr>
          <w:rFonts w:asciiTheme="minorHAnsi" w:hAnsiTheme="minorHAnsi" w:cstheme="minorHAnsi"/>
          <w:color w:val="232323"/>
          <w:sz w:val="22"/>
          <w:szCs w:val="22"/>
        </w:rPr>
        <w:t xml:space="preserve"> </w:t>
      </w:r>
      <w:r w:rsidR="00F71FB7" w:rsidRPr="00F71FB7">
        <w:rPr>
          <w:rFonts w:asciiTheme="minorHAnsi" w:hAnsiTheme="minorHAnsi" w:cstheme="minorHAnsi"/>
          <w:color w:val="232323"/>
          <w:sz w:val="22"/>
          <w:szCs w:val="22"/>
        </w:rPr>
        <w:t>sia n</w:t>
      </w:r>
      <w:r w:rsidR="00F71FB7">
        <w:rPr>
          <w:rFonts w:asciiTheme="minorHAnsi" w:hAnsiTheme="minorHAnsi" w:cstheme="minorHAnsi"/>
          <w:color w:val="232323"/>
          <w:sz w:val="22"/>
          <w:szCs w:val="22"/>
        </w:rPr>
        <w:t xml:space="preserve">egativo sia positivo, che </w:t>
      </w:r>
      <w:r w:rsidR="00EA5121" w:rsidRPr="00FC2A03">
        <w:rPr>
          <w:rFonts w:asciiTheme="minorHAnsi" w:hAnsiTheme="minorHAnsi" w:cstheme="minorHAnsi"/>
          <w:color w:val="232323"/>
          <w:sz w:val="22"/>
          <w:szCs w:val="22"/>
        </w:rPr>
        <w:t xml:space="preserve">sono state </w:t>
      </w:r>
      <w:r w:rsidRPr="00FC2A03">
        <w:rPr>
          <w:rFonts w:asciiTheme="minorHAnsi" w:hAnsiTheme="minorHAnsi" w:cstheme="minorHAnsi"/>
          <w:color w:val="232323"/>
          <w:sz w:val="22"/>
          <w:szCs w:val="22"/>
        </w:rPr>
        <w:t>randomizzate in</w:t>
      </w:r>
      <w:r w:rsidR="00EA5121" w:rsidRPr="00FC2A03">
        <w:rPr>
          <w:rFonts w:asciiTheme="minorHAnsi" w:hAnsiTheme="minorHAnsi" w:cstheme="minorHAnsi"/>
          <w:color w:val="232323"/>
          <w:sz w:val="22"/>
          <w:szCs w:val="22"/>
        </w:rPr>
        <w:t xml:space="preserve"> 6 gruppi: </w:t>
      </w:r>
      <w:r w:rsidRPr="00FC2A03">
        <w:rPr>
          <w:rFonts w:asciiTheme="minorHAnsi" w:hAnsiTheme="minorHAnsi" w:cstheme="minorHAnsi"/>
          <w:color w:val="232323"/>
          <w:sz w:val="22"/>
          <w:szCs w:val="22"/>
        </w:rPr>
        <w:t>3 gruppi di terapia up</w:t>
      </w:r>
      <w:r w:rsidR="00EF0FE6">
        <w:rPr>
          <w:rFonts w:asciiTheme="minorHAnsi" w:hAnsiTheme="minorHAnsi" w:cstheme="minorHAnsi"/>
          <w:color w:val="232323"/>
          <w:sz w:val="22"/>
          <w:szCs w:val="22"/>
        </w:rPr>
        <w:t>-</w:t>
      </w:r>
      <w:r w:rsidR="0099241A">
        <w:rPr>
          <w:rFonts w:asciiTheme="minorHAnsi" w:hAnsiTheme="minorHAnsi" w:cstheme="minorHAnsi"/>
          <w:color w:val="232323"/>
          <w:sz w:val="22"/>
          <w:szCs w:val="22"/>
        </w:rPr>
        <w:t>front nei quali</w:t>
      </w:r>
      <w:r w:rsidRPr="00FC2A03">
        <w:rPr>
          <w:rFonts w:asciiTheme="minorHAnsi" w:hAnsiTheme="minorHAnsi" w:cstheme="minorHAnsi"/>
          <w:color w:val="232323"/>
          <w:sz w:val="22"/>
          <w:szCs w:val="22"/>
        </w:rPr>
        <w:t xml:space="preserve"> </w:t>
      </w:r>
      <w:proofErr w:type="spellStart"/>
      <w:r w:rsidR="00EA5121" w:rsidRPr="00FC2A03">
        <w:rPr>
          <w:rFonts w:asciiTheme="minorHAnsi" w:hAnsiTheme="minorHAnsi" w:cstheme="minorHAnsi"/>
          <w:color w:val="232323"/>
          <w:sz w:val="22"/>
          <w:szCs w:val="22"/>
        </w:rPr>
        <w:t>anast</w:t>
      </w:r>
      <w:r w:rsidRPr="00FC2A03">
        <w:rPr>
          <w:rFonts w:asciiTheme="minorHAnsi" w:hAnsiTheme="minorHAnsi" w:cstheme="minorHAnsi"/>
          <w:color w:val="232323"/>
          <w:sz w:val="22"/>
          <w:szCs w:val="22"/>
        </w:rPr>
        <w:t>rozolo</w:t>
      </w:r>
      <w:proofErr w:type="spellEnd"/>
      <w:r w:rsidR="00FC2A03" w:rsidRPr="00FC2A03">
        <w:rPr>
          <w:rFonts w:asciiTheme="minorHAnsi" w:hAnsiTheme="minorHAnsi" w:cstheme="minorHAnsi"/>
          <w:color w:val="232323"/>
          <w:sz w:val="22"/>
          <w:szCs w:val="22"/>
        </w:rPr>
        <w:t xml:space="preserve"> </w:t>
      </w:r>
      <w:r w:rsidRPr="00FC2A03">
        <w:rPr>
          <w:rFonts w:asciiTheme="minorHAnsi" w:hAnsiTheme="minorHAnsi" w:cstheme="minorHAnsi"/>
          <w:color w:val="232323"/>
          <w:sz w:val="22"/>
          <w:szCs w:val="22"/>
        </w:rPr>
        <w:t xml:space="preserve">o  </w:t>
      </w:r>
      <w:proofErr w:type="spellStart"/>
      <w:r w:rsidRPr="00FC2A03">
        <w:rPr>
          <w:rFonts w:asciiTheme="minorHAnsi" w:hAnsiTheme="minorHAnsi" w:cstheme="minorHAnsi"/>
          <w:color w:val="232323"/>
          <w:sz w:val="22"/>
          <w:szCs w:val="22"/>
        </w:rPr>
        <w:t>exemestane</w:t>
      </w:r>
      <w:proofErr w:type="spellEnd"/>
      <w:r w:rsidRPr="00FC2A03">
        <w:rPr>
          <w:rFonts w:asciiTheme="minorHAnsi" w:hAnsiTheme="minorHAnsi" w:cstheme="minorHAnsi"/>
          <w:color w:val="232323"/>
          <w:sz w:val="22"/>
          <w:szCs w:val="22"/>
        </w:rPr>
        <w:t xml:space="preserve"> o </w:t>
      </w:r>
      <w:proofErr w:type="spellStart"/>
      <w:r w:rsidRPr="00FC2A03">
        <w:rPr>
          <w:rFonts w:asciiTheme="minorHAnsi" w:hAnsiTheme="minorHAnsi" w:cstheme="minorHAnsi"/>
          <w:color w:val="232323"/>
          <w:sz w:val="22"/>
          <w:szCs w:val="22"/>
        </w:rPr>
        <w:t>letrozolo</w:t>
      </w:r>
      <w:proofErr w:type="spellEnd"/>
      <w:r w:rsidR="0099241A">
        <w:rPr>
          <w:rFonts w:asciiTheme="minorHAnsi" w:hAnsiTheme="minorHAnsi" w:cstheme="minorHAnsi"/>
          <w:color w:val="232323"/>
          <w:sz w:val="22"/>
          <w:szCs w:val="22"/>
        </w:rPr>
        <w:t xml:space="preserve"> sono stati somministrati x 5 anni</w:t>
      </w:r>
      <w:r w:rsidRPr="00FC2A03">
        <w:rPr>
          <w:rFonts w:asciiTheme="minorHAnsi" w:hAnsiTheme="minorHAnsi" w:cstheme="minorHAnsi"/>
          <w:color w:val="232323"/>
          <w:sz w:val="22"/>
          <w:szCs w:val="22"/>
        </w:rPr>
        <w:t xml:space="preserve">; </w:t>
      </w:r>
      <w:r w:rsidR="00EA5121" w:rsidRPr="00FC2A03">
        <w:rPr>
          <w:rFonts w:asciiTheme="minorHAnsi" w:hAnsiTheme="minorHAnsi" w:cstheme="minorHAnsi"/>
          <w:color w:val="232323"/>
          <w:sz w:val="22"/>
          <w:szCs w:val="22"/>
        </w:rPr>
        <w:t xml:space="preserve"> e </w:t>
      </w:r>
      <w:r w:rsidR="0099241A">
        <w:rPr>
          <w:rFonts w:asciiTheme="minorHAnsi" w:hAnsiTheme="minorHAnsi" w:cstheme="minorHAnsi"/>
          <w:color w:val="232323"/>
          <w:sz w:val="22"/>
          <w:szCs w:val="22"/>
        </w:rPr>
        <w:t xml:space="preserve">3 gruppi di terapia </w:t>
      </w:r>
      <w:proofErr w:type="spellStart"/>
      <w:r w:rsidR="0099241A">
        <w:rPr>
          <w:rFonts w:asciiTheme="minorHAnsi" w:hAnsiTheme="minorHAnsi" w:cstheme="minorHAnsi"/>
          <w:color w:val="232323"/>
          <w:sz w:val="22"/>
          <w:szCs w:val="22"/>
        </w:rPr>
        <w:t>switch</w:t>
      </w:r>
      <w:proofErr w:type="spellEnd"/>
      <w:r w:rsidR="0099241A">
        <w:rPr>
          <w:rFonts w:asciiTheme="minorHAnsi" w:hAnsiTheme="minorHAnsi" w:cstheme="minorHAnsi"/>
          <w:color w:val="232323"/>
          <w:sz w:val="22"/>
          <w:szCs w:val="22"/>
        </w:rPr>
        <w:t xml:space="preserve"> nei quali</w:t>
      </w:r>
      <w:r w:rsidRPr="00FC2A03">
        <w:rPr>
          <w:rFonts w:asciiTheme="minorHAnsi" w:hAnsiTheme="minorHAnsi" w:cstheme="minorHAnsi"/>
          <w:color w:val="232323"/>
          <w:sz w:val="22"/>
          <w:szCs w:val="22"/>
        </w:rPr>
        <w:t xml:space="preserve"> </w:t>
      </w:r>
      <w:r w:rsidR="0099241A">
        <w:rPr>
          <w:rFonts w:asciiTheme="minorHAnsi" w:hAnsiTheme="minorHAnsi" w:cstheme="minorHAnsi"/>
          <w:color w:val="232323"/>
          <w:sz w:val="22"/>
          <w:szCs w:val="22"/>
        </w:rPr>
        <w:t xml:space="preserve">a </w:t>
      </w:r>
      <w:r w:rsidR="00EA5121" w:rsidRPr="00FC2A03">
        <w:rPr>
          <w:rFonts w:asciiTheme="minorHAnsi" w:hAnsiTheme="minorHAnsi" w:cstheme="minorHAnsi"/>
          <w:color w:val="232323"/>
          <w:sz w:val="22"/>
          <w:szCs w:val="22"/>
        </w:rPr>
        <w:t xml:space="preserve">2 anni di </w:t>
      </w:r>
      <w:proofErr w:type="spellStart"/>
      <w:r w:rsidR="00EA5121" w:rsidRPr="00FC2A03">
        <w:rPr>
          <w:rFonts w:asciiTheme="minorHAnsi" w:hAnsiTheme="minorHAnsi" w:cstheme="minorHAnsi"/>
          <w:color w:val="232323"/>
          <w:sz w:val="22"/>
          <w:szCs w:val="22"/>
        </w:rPr>
        <w:t>tamoxifene</w:t>
      </w:r>
      <w:proofErr w:type="spellEnd"/>
      <w:r w:rsidR="00EA5121" w:rsidRPr="00FC2A03">
        <w:rPr>
          <w:rFonts w:asciiTheme="minorHAnsi" w:hAnsiTheme="minorHAnsi" w:cstheme="minorHAnsi"/>
          <w:color w:val="232323"/>
          <w:sz w:val="22"/>
          <w:szCs w:val="22"/>
        </w:rPr>
        <w:t xml:space="preserve"> </w:t>
      </w:r>
      <w:r w:rsidR="0099241A">
        <w:rPr>
          <w:rFonts w:asciiTheme="minorHAnsi" w:hAnsiTheme="minorHAnsi" w:cstheme="minorHAnsi"/>
          <w:color w:val="232323"/>
          <w:sz w:val="22"/>
          <w:szCs w:val="22"/>
        </w:rPr>
        <w:t>sono seguiti</w:t>
      </w:r>
      <w:r w:rsidR="00EA5121" w:rsidRPr="00FC2A03">
        <w:rPr>
          <w:rFonts w:asciiTheme="minorHAnsi" w:hAnsiTheme="minorHAnsi" w:cstheme="minorHAnsi"/>
          <w:color w:val="232323"/>
          <w:sz w:val="22"/>
          <w:szCs w:val="22"/>
        </w:rPr>
        <w:t xml:space="preserve"> 3 anni di </w:t>
      </w:r>
      <w:proofErr w:type="spellStart"/>
      <w:r w:rsidR="00EA5121" w:rsidRPr="00FC2A03">
        <w:rPr>
          <w:rFonts w:asciiTheme="minorHAnsi" w:hAnsiTheme="minorHAnsi" w:cstheme="minorHAnsi"/>
          <w:color w:val="232323"/>
          <w:sz w:val="22"/>
          <w:szCs w:val="22"/>
        </w:rPr>
        <w:t>anastrozolo</w:t>
      </w:r>
      <w:proofErr w:type="spellEnd"/>
      <w:r w:rsidR="00FC2A03" w:rsidRPr="00FC2A03">
        <w:rPr>
          <w:rFonts w:asciiTheme="minorHAnsi" w:hAnsiTheme="minorHAnsi" w:cstheme="minorHAnsi"/>
          <w:color w:val="232323"/>
          <w:sz w:val="22"/>
          <w:szCs w:val="22"/>
        </w:rPr>
        <w:t xml:space="preserve"> o </w:t>
      </w:r>
      <w:r w:rsidR="00EA5121" w:rsidRPr="00FC2A03">
        <w:rPr>
          <w:rFonts w:asciiTheme="minorHAnsi" w:hAnsiTheme="minorHAnsi" w:cstheme="minorHAnsi"/>
          <w:color w:val="232323"/>
          <w:sz w:val="22"/>
          <w:szCs w:val="22"/>
        </w:rPr>
        <w:t xml:space="preserve"> </w:t>
      </w:r>
      <w:proofErr w:type="spellStart"/>
      <w:r w:rsidR="00EA5121" w:rsidRPr="00FC2A03">
        <w:rPr>
          <w:rFonts w:asciiTheme="minorHAnsi" w:hAnsiTheme="minorHAnsi" w:cstheme="minorHAnsi"/>
          <w:color w:val="232323"/>
          <w:sz w:val="22"/>
          <w:szCs w:val="22"/>
        </w:rPr>
        <w:t>exemestane</w:t>
      </w:r>
      <w:proofErr w:type="spellEnd"/>
      <w:r w:rsidR="00EA5121" w:rsidRPr="00FC2A03">
        <w:rPr>
          <w:rFonts w:asciiTheme="minorHAnsi" w:hAnsiTheme="minorHAnsi" w:cstheme="minorHAnsi"/>
          <w:color w:val="232323"/>
          <w:sz w:val="22"/>
          <w:szCs w:val="22"/>
        </w:rPr>
        <w:t xml:space="preserve"> o </w:t>
      </w:r>
      <w:proofErr w:type="spellStart"/>
      <w:r w:rsidR="00EA5121" w:rsidRPr="00FC2A03">
        <w:rPr>
          <w:rFonts w:asciiTheme="minorHAnsi" w:hAnsiTheme="minorHAnsi" w:cstheme="minorHAnsi"/>
          <w:color w:val="232323"/>
          <w:sz w:val="22"/>
          <w:szCs w:val="22"/>
        </w:rPr>
        <w:t>letrozolo</w:t>
      </w:r>
      <w:proofErr w:type="spellEnd"/>
      <w:r w:rsidR="00FC2A03" w:rsidRPr="00FC2A03">
        <w:rPr>
          <w:rFonts w:asciiTheme="minorHAnsi" w:hAnsiTheme="minorHAnsi" w:cstheme="minorHAnsi"/>
          <w:color w:val="232323"/>
          <w:sz w:val="22"/>
          <w:szCs w:val="22"/>
        </w:rPr>
        <w:t>.</w:t>
      </w:r>
      <w:r w:rsidR="00F71FB7" w:rsidRPr="00F71FB7">
        <w:rPr>
          <w:rFonts w:ascii="Arial" w:hAnsi="Arial" w:cs="Arial"/>
          <w:color w:val="000000"/>
          <w:sz w:val="25"/>
          <w:szCs w:val="25"/>
        </w:rPr>
        <w:t xml:space="preserve"> </w:t>
      </w:r>
      <w:r w:rsidR="00F71FB7">
        <w:rPr>
          <w:rFonts w:asciiTheme="minorHAnsi" w:hAnsiTheme="minorHAnsi" w:cstheme="minorHAnsi"/>
          <w:color w:val="000000"/>
          <w:sz w:val="22"/>
          <w:szCs w:val="22"/>
        </w:rPr>
        <w:t>I criteri principali</w:t>
      </w:r>
      <w:r w:rsidR="00F71FB7" w:rsidRPr="00F71FB7">
        <w:rPr>
          <w:rFonts w:asciiTheme="minorHAnsi" w:hAnsiTheme="minorHAnsi" w:cstheme="minorHAnsi"/>
          <w:color w:val="000000"/>
          <w:sz w:val="22"/>
          <w:szCs w:val="22"/>
        </w:rPr>
        <w:t xml:space="preserve"> di esclusione erano la terapia ormonale sostitutiva, la malattia ricorrente o metastatica, il precedente trattamento con </w:t>
      </w:r>
      <w:proofErr w:type="spellStart"/>
      <w:r w:rsidR="00F71FB7" w:rsidRPr="00F71FB7">
        <w:rPr>
          <w:rFonts w:asciiTheme="minorHAnsi" w:hAnsiTheme="minorHAnsi" w:cstheme="minorHAnsi"/>
          <w:color w:val="000000"/>
          <w:sz w:val="22"/>
          <w:szCs w:val="22"/>
        </w:rPr>
        <w:t>tamoxifene</w:t>
      </w:r>
      <w:proofErr w:type="spellEnd"/>
      <w:r w:rsidR="00F71FB7" w:rsidRPr="00F71FB7">
        <w:rPr>
          <w:rFonts w:asciiTheme="minorHAnsi" w:hAnsiTheme="minorHAnsi" w:cstheme="minorHAnsi"/>
          <w:color w:val="000000"/>
          <w:sz w:val="22"/>
          <w:szCs w:val="22"/>
        </w:rPr>
        <w:t xml:space="preserve"> e un'altra neoplasia negli ultimi 10 anni.</w:t>
      </w:r>
    </w:p>
    <w:p w:rsidR="00EF0FE6" w:rsidRPr="00EF0FE6" w:rsidRDefault="00EF0FE6" w:rsidP="004F6BCB">
      <w:pPr>
        <w:pStyle w:val="NormaleWeb"/>
        <w:shd w:val="clear" w:color="auto" w:fill="FFFFFF"/>
        <w:contextualSpacing/>
        <w:jc w:val="both"/>
        <w:rPr>
          <w:rFonts w:asciiTheme="minorHAnsi" w:hAnsiTheme="minorHAnsi" w:cstheme="minorHAnsi"/>
          <w:color w:val="232323"/>
          <w:sz w:val="22"/>
          <w:szCs w:val="22"/>
        </w:rPr>
      </w:pPr>
      <w:r w:rsidRPr="00EF0FE6">
        <w:rPr>
          <w:rFonts w:asciiTheme="minorHAnsi" w:hAnsiTheme="minorHAnsi" w:cstheme="minorHAnsi"/>
          <w:color w:val="000000"/>
          <w:sz w:val="22"/>
          <w:szCs w:val="22"/>
        </w:rPr>
        <w:t>L'</w:t>
      </w:r>
      <w:proofErr w:type="spellStart"/>
      <w:r w:rsidRPr="00EF0FE6">
        <w:rPr>
          <w:rFonts w:asciiTheme="minorHAnsi" w:hAnsiTheme="minorHAnsi" w:cstheme="minorHAnsi"/>
          <w:color w:val="000000"/>
          <w:sz w:val="22"/>
          <w:szCs w:val="22"/>
        </w:rPr>
        <w:t>endpoint</w:t>
      </w:r>
      <w:proofErr w:type="spellEnd"/>
      <w:r w:rsidRPr="00EF0FE6">
        <w:rPr>
          <w:rFonts w:asciiTheme="minorHAnsi" w:hAnsiTheme="minorHAnsi" w:cstheme="minorHAnsi"/>
          <w:color w:val="000000"/>
          <w:sz w:val="22"/>
          <w:szCs w:val="22"/>
        </w:rPr>
        <w:t xml:space="preserve"> primario era la sopravvivenza libera da malattia. Si è ipotizzato che il limite minimo per dichiarare la supe</w:t>
      </w:r>
      <w:r>
        <w:rPr>
          <w:rFonts w:asciiTheme="minorHAnsi" w:hAnsiTheme="minorHAnsi" w:cstheme="minorHAnsi"/>
          <w:color w:val="000000"/>
          <w:sz w:val="22"/>
          <w:szCs w:val="22"/>
        </w:rPr>
        <w:t>riorità della strategia up-front</w:t>
      </w:r>
      <w:r w:rsidRPr="00EF0FE6">
        <w:rPr>
          <w:rFonts w:asciiTheme="minorHAnsi" w:hAnsiTheme="minorHAnsi" w:cstheme="minorHAnsi"/>
          <w:color w:val="000000"/>
          <w:sz w:val="22"/>
          <w:szCs w:val="22"/>
        </w:rPr>
        <w:t xml:space="preserve"> rispetto alla strategia </w:t>
      </w:r>
      <w:proofErr w:type="spellStart"/>
      <w:r w:rsidRPr="00EF0FE6">
        <w:rPr>
          <w:rFonts w:asciiTheme="minorHAnsi" w:hAnsiTheme="minorHAnsi" w:cstheme="minorHAnsi"/>
          <w:color w:val="000000"/>
          <w:sz w:val="22"/>
          <w:szCs w:val="22"/>
        </w:rPr>
        <w:t>switch</w:t>
      </w:r>
      <w:proofErr w:type="spellEnd"/>
      <w:r w:rsidRPr="00EF0FE6">
        <w:rPr>
          <w:rFonts w:asciiTheme="minorHAnsi" w:hAnsiTheme="minorHAnsi" w:cstheme="minorHAnsi"/>
          <w:color w:val="000000"/>
          <w:sz w:val="22"/>
          <w:szCs w:val="22"/>
        </w:rPr>
        <w:t xml:space="preserve"> fosse una differenza del 2% nella sopravvivenza libera da malattia a 5 anni.</w:t>
      </w:r>
    </w:p>
    <w:p w:rsidR="00EA5121" w:rsidRDefault="00EA5121" w:rsidP="004F6BCB">
      <w:pPr>
        <w:pStyle w:val="NormaleWeb"/>
        <w:shd w:val="clear" w:color="auto" w:fill="FFFFFF"/>
        <w:contextualSpacing/>
        <w:jc w:val="both"/>
        <w:rPr>
          <w:rFonts w:asciiTheme="minorHAnsi" w:hAnsiTheme="minorHAnsi" w:cstheme="minorHAnsi"/>
          <w:color w:val="232323"/>
          <w:sz w:val="22"/>
          <w:szCs w:val="22"/>
        </w:rPr>
      </w:pPr>
    </w:p>
    <w:p w:rsidR="00EF0FE6" w:rsidRDefault="00FC2A03" w:rsidP="00B71EC8">
      <w:pPr>
        <w:pStyle w:val="NormaleWeb"/>
        <w:shd w:val="clear" w:color="auto" w:fill="FFFFFF"/>
        <w:contextualSpacing/>
        <w:jc w:val="both"/>
        <w:rPr>
          <w:rFonts w:asciiTheme="minorHAnsi" w:hAnsiTheme="minorHAnsi" w:cstheme="minorHAnsi"/>
          <w:b/>
          <w:color w:val="232323"/>
          <w:sz w:val="22"/>
          <w:szCs w:val="22"/>
        </w:rPr>
      </w:pPr>
      <w:r w:rsidRPr="00FC2A03">
        <w:rPr>
          <w:rFonts w:asciiTheme="minorHAnsi" w:hAnsiTheme="minorHAnsi" w:cstheme="minorHAnsi"/>
          <w:b/>
          <w:color w:val="232323"/>
          <w:sz w:val="22"/>
          <w:szCs w:val="22"/>
        </w:rPr>
        <w:t>Principali risultati</w:t>
      </w:r>
    </w:p>
    <w:p w:rsidR="00370F05" w:rsidRDefault="00EF0FE6" w:rsidP="00B71EC8">
      <w:pPr>
        <w:pStyle w:val="NormaleWeb"/>
        <w:shd w:val="clear" w:color="auto" w:fill="FFFFFF"/>
        <w:contextualSpacing/>
        <w:jc w:val="both"/>
        <w:rPr>
          <w:rFonts w:asciiTheme="minorHAnsi" w:hAnsiTheme="minorHAnsi" w:cstheme="minorHAnsi"/>
          <w:color w:val="000000"/>
          <w:sz w:val="22"/>
          <w:szCs w:val="22"/>
        </w:rPr>
      </w:pPr>
      <w:r w:rsidRPr="00EF0FE6">
        <w:rPr>
          <w:rFonts w:asciiTheme="minorHAnsi" w:hAnsiTheme="minorHAnsi" w:cstheme="minorHAnsi"/>
          <w:color w:val="000000"/>
          <w:sz w:val="22"/>
          <w:szCs w:val="22"/>
        </w:rPr>
        <w:t>Tra marzo 2007 e lugli</w:t>
      </w:r>
      <w:r>
        <w:rPr>
          <w:rFonts w:asciiTheme="minorHAnsi" w:hAnsiTheme="minorHAnsi" w:cstheme="minorHAnsi"/>
          <w:color w:val="000000"/>
          <w:sz w:val="22"/>
          <w:szCs w:val="22"/>
        </w:rPr>
        <w:t>o 2012, 3697 pazienti sono state arruolate</w:t>
      </w:r>
      <w:r w:rsidRPr="00EF0FE6">
        <w:rPr>
          <w:rFonts w:asciiTheme="minorHAnsi" w:hAnsiTheme="minorHAnsi" w:cstheme="minorHAnsi"/>
          <w:color w:val="000000"/>
          <w:sz w:val="22"/>
          <w:szCs w:val="22"/>
        </w:rPr>
        <w:t xml:space="preserve"> nello studio. Dopo un follow-u</w:t>
      </w:r>
      <w:r>
        <w:rPr>
          <w:rFonts w:asciiTheme="minorHAnsi" w:hAnsiTheme="minorHAnsi" w:cstheme="minorHAnsi"/>
          <w:color w:val="000000"/>
          <w:sz w:val="22"/>
          <w:szCs w:val="22"/>
        </w:rPr>
        <w:t>p mediano di 60 mesi,</w:t>
      </w:r>
      <w:r w:rsidRPr="00EF0FE6">
        <w:rPr>
          <w:rFonts w:asciiTheme="minorHAnsi" w:hAnsiTheme="minorHAnsi" w:cstheme="minorHAnsi"/>
          <w:color w:val="000000"/>
          <w:sz w:val="22"/>
          <w:szCs w:val="22"/>
        </w:rPr>
        <w:t xml:space="preserve"> sono stati segnalati 401 eventi, tra cui 211 (11%) di 1850 pazienti as</w:t>
      </w:r>
      <w:r w:rsidR="002C58F6">
        <w:rPr>
          <w:rFonts w:asciiTheme="minorHAnsi" w:hAnsiTheme="minorHAnsi" w:cstheme="minorHAnsi"/>
          <w:color w:val="000000"/>
          <w:sz w:val="22"/>
          <w:szCs w:val="22"/>
        </w:rPr>
        <w:t xml:space="preserve">segnati alla strategia di </w:t>
      </w:r>
      <w:proofErr w:type="spellStart"/>
      <w:r w:rsidR="002C58F6">
        <w:rPr>
          <w:rFonts w:asciiTheme="minorHAnsi" w:hAnsiTheme="minorHAnsi" w:cstheme="minorHAnsi"/>
          <w:color w:val="000000"/>
          <w:sz w:val="22"/>
          <w:szCs w:val="22"/>
        </w:rPr>
        <w:t>switch</w:t>
      </w:r>
      <w:proofErr w:type="spellEnd"/>
      <w:r w:rsidRPr="00EF0FE6">
        <w:rPr>
          <w:rFonts w:asciiTheme="minorHAnsi" w:hAnsiTheme="minorHAnsi" w:cstheme="minorHAnsi"/>
          <w:color w:val="000000"/>
          <w:sz w:val="22"/>
          <w:szCs w:val="22"/>
        </w:rPr>
        <w:t xml:space="preserve"> e 190 (10%) di 1847 pazienti </w:t>
      </w:r>
      <w:r w:rsidR="002C58F6">
        <w:rPr>
          <w:rFonts w:asciiTheme="minorHAnsi" w:hAnsiTheme="minorHAnsi" w:cstheme="minorHAnsi"/>
          <w:color w:val="000000"/>
          <w:sz w:val="22"/>
          <w:szCs w:val="22"/>
        </w:rPr>
        <w:t>assegnati a trattamento up-front</w:t>
      </w:r>
      <w:r w:rsidRPr="00EF0FE6">
        <w:rPr>
          <w:rFonts w:asciiTheme="minorHAnsi" w:hAnsiTheme="minorHAnsi" w:cstheme="minorHAnsi"/>
          <w:color w:val="000000"/>
          <w:sz w:val="22"/>
          <w:szCs w:val="22"/>
        </w:rPr>
        <w:t xml:space="preserve">. </w:t>
      </w:r>
    </w:p>
    <w:p w:rsidR="00EF0FE6" w:rsidRDefault="004F6BCB" w:rsidP="00B71EC8">
      <w:pPr>
        <w:pStyle w:val="NormaleWeb"/>
        <w:shd w:val="clear" w:color="auto" w:fill="FFFFFF"/>
        <w:contextualSpacing/>
        <w:jc w:val="both"/>
        <w:rPr>
          <w:rFonts w:asciiTheme="minorHAnsi" w:hAnsiTheme="minorHAnsi" w:cstheme="minorHAnsi"/>
          <w:b/>
          <w:color w:val="232323"/>
          <w:sz w:val="22"/>
          <w:szCs w:val="22"/>
        </w:rPr>
      </w:pPr>
      <w:r w:rsidRPr="00370F05">
        <w:rPr>
          <w:rFonts w:asciiTheme="minorHAnsi" w:hAnsiTheme="minorHAnsi" w:cstheme="minorHAnsi"/>
          <w:color w:val="232323"/>
          <w:sz w:val="22"/>
          <w:szCs w:val="22"/>
        </w:rPr>
        <w:t xml:space="preserve">Nessuna differenza è stata osservata in termini di DFS a 5 anni tra gruppi </w:t>
      </w:r>
      <w:proofErr w:type="spellStart"/>
      <w:r w:rsidRPr="00370F05">
        <w:rPr>
          <w:rFonts w:asciiTheme="minorHAnsi" w:hAnsiTheme="minorHAnsi" w:cstheme="minorHAnsi"/>
          <w:color w:val="232323"/>
          <w:sz w:val="22"/>
          <w:szCs w:val="22"/>
        </w:rPr>
        <w:t>switch</w:t>
      </w:r>
      <w:proofErr w:type="spellEnd"/>
      <w:r w:rsidRPr="00370F05">
        <w:rPr>
          <w:rFonts w:asciiTheme="minorHAnsi" w:hAnsiTheme="minorHAnsi" w:cstheme="minorHAnsi"/>
          <w:color w:val="232323"/>
          <w:sz w:val="22"/>
          <w:szCs w:val="22"/>
        </w:rPr>
        <w:t xml:space="preserve"> e </w:t>
      </w:r>
      <w:proofErr w:type="spellStart"/>
      <w:r w:rsidRPr="00370F05">
        <w:rPr>
          <w:rFonts w:asciiTheme="minorHAnsi" w:hAnsiTheme="minorHAnsi" w:cstheme="minorHAnsi"/>
          <w:color w:val="232323"/>
          <w:sz w:val="22"/>
          <w:szCs w:val="22"/>
        </w:rPr>
        <w:t>upfront</w:t>
      </w:r>
      <w:proofErr w:type="spellEnd"/>
      <w:r w:rsidRPr="00370F05">
        <w:rPr>
          <w:rFonts w:asciiTheme="minorHAnsi" w:hAnsiTheme="minorHAnsi" w:cstheme="minorHAnsi"/>
          <w:color w:val="232323"/>
          <w:sz w:val="22"/>
          <w:szCs w:val="22"/>
        </w:rPr>
        <w:t>: infatti l</w:t>
      </w:r>
      <w:r w:rsidR="00EF0FE6" w:rsidRPr="00370F05">
        <w:rPr>
          <w:rFonts w:asciiTheme="minorHAnsi" w:hAnsiTheme="minorHAnsi" w:cstheme="minorHAnsi"/>
          <w:color w:val="000000"/>
          <w:sz w:val="22"/>
          <w:szCs w:val="22"/>
        </w:rPr>
        <w:t>a sopravvivenza libera da mala</w:t>
      </w:r>
      <w:r w:rsidR="002C58F6" w:rsidRPr="00370F05">
        <w:rPr>
          <w:rFonts w:asciiTheme="minorHAnsi" w:hAnsiTheme="minorHAnsi" w:cstheme="minorHAnsi"/>
          <w:color w:val="000000"/>
          <w:sz w:val="22"/>
          <w:szCs w:val="22"/>
        </w:rPr>
        <w:t xml:space="preserve">ttia a 5 anni è stata rispettivamente dell'88.5% </w:t>
      </w:r>
      <w:r w:rsidR="00E71248" w:rsidRPr="00370F05">
        <w:rPr>
          <w:rFonts w:asciiTheme="minorHAnsi" w:hAnsiTheme="minorHAnsi" w:cstheme="minorHAnsi"/>
          <w:color w:val="000000"/>
          <w:sz w:val="22"/>
          <w:szCs w:val="22"/>
        </w:rPr>
        <w:t xml:space="preserve">per il gruppo </w:t>
      </w:r>
      <w:proofErr w:type="spellStart"/>
      <w:r w:rsidR="00E71248" w:rsidRPr="00370F05">
        <w:rPr>
          <w:rFonts w:asciiTheme="minorHAnsi" w:hAnsiTheme="minorHAnsi" w:cstheme="minorHAnsi"/>
          <w:color w:val="000000"/>
          <w:sz w:val="22"/>
          <w:szCs w:val="22"/>
        </w:rPr>
        <w:t>switch</w:t>
      </w:r>
      <w:proofErr w:type="spellEnd"/>
      <w:r w:rsidR="002C58F6" w:rsidRPr="00370F05">
        <w:rPr>
          <w:rFonts w:asciiTheme="minorHAnsi" w:hAnsiTheme="minorHAnsi" w:cstheme="minorHAnsi"/>
          <w:color w:val="000000"/>
          <w:sz w:val="22"/>
          <w:szCs w:val="22"/>
        </w:rPr>
        <w:t xml:space="preserve"> </w:t>
      </w:r>
      <w:r w:rsidR="00EF0FE6" w:rsidRPr="00370F05">
        <w:rPr>
          <w:rFonts w:asciiTheme="minorHAnsi" w:hAnsiTheme="minorHAnsi" w:cstheme="minorHAnsi"/>
          <w:color w:val="000000"/>
          <w:sz w:val="22"/>
          <w:szCs w:val="22"/>
        </w:rPr>
        <w:t xml:space="preserve">e </w:t>
      </w:r>
      <w:r w:rsidR="002C58F6" w:rsidRPr="00370F05">
        <w:rPr>
          <w:rFonts w:asciiTheme="minorHAnsi" w:hAnsiTheme="minorHAnsi" w:cstheme="minorHAnsi"/>
          <w:color w:val="000000"/>
          <w:sz w:val="22"/>
          <w:szCs w:val="22"/>
        </w:rPr>
        <w:t xml:space="preserve"> 89,8%</w:t>
      </w:r>
      <w:r w:rsidR="00E71248" w:rsidRPr="00370F05">
        <w:rPr>
          <w:rFonts w:asciiTheme="minorHAnsi" w:hAnsiTheme="minorHAnsi" w:cstheme="minorHAnsi"/>
          <w:color w:val="000000"/>
          <w:sz w:val="22"/>
          <w:szCs w:val="22"/>
        </w:rPr>
        <w:t xml:space="preserve"> per il gruppo up-front</w:t>
      </w:r>
      <w:r w:rsidR="002C58F6" w:rsidRPr="00370F05">
        <w:rPr>
          <w:rFonts w:asciiTheme="minorHAnsi" w:hAnsiTheme="minorHAnsi" w:cstheme="minorHAnsi"/>
          <w:color w:val="000000"/>
          <w:sz w:val="22"/>
          <w:szCs w:val="22"/>
        </w:rPr>
        <w:t xml:space="preserve">.  </w:t>
      </w:r>
      <w:r w:rsidR="00631FC8" w:rsidRPr="00370F05">
        <w:rPr>
          <w:rFonts w:asciiTheme="minorHAnsi" w:hAnsiTheme="minorHAnsi" w:cstheme="minorHAnsi"/>
          <w:color w:val="000000"/>
          <w:sz w:val="22"/>
          <w:szCs w:val="22"/>
        </w:rPr>
        <w:t xml:space="preserve"> </w:t>
      </w:r>
      <w:r w:rsidR="0099241A">
        <w:rPr>
          <w:rFonts w:asciiTheme="minorHAnsi" w:hAnsiTheme="minorHAnsi" w:cstheme="minorHAnsi"/>
          <w:color w:val="000000"/>
          <w:sz w:val="22"/>
          <w:szCs w:val="22"/>
        </w:rPr>
        <w:t>Complessivamente 4</w:t>
      </w:r>
      <w:r w:rsidR="00E71248" w:rsidRPr="00370F05">
        <w:rPr>
          <w:rFonts w:asciiTheme="minorHAnsi" w:hAnsiTheme="minorHAnsi" w:cstheme="minorHAnsi"/>
          <w:color w:val="000000"/>
          <w:sz w:val="22"/>
          <w:szCs w:val="22"/>
        </w:rPr>
        <w:t>01 eventi di ripresa di malattia hanno determinato un</w:t>
      </w:r>
      <w:r w:rsidR="00EF0FE6" w:rsidRPr="00370F05">
        <w:rPr>
          <w:rFonts w:asciiTheme="minorHAnsi" w:hAnsiTheme="minorHAnsi" w:cstheme="minorHAnsi"/>
          <w:color w:val="000000"/>
          <w:sz w:val="22"/>
          <w:szCs w:val="22"/>
        </w:rPr>
        <w:t>a sopravvivenza libera da mal</w:t>
      </w:r>
      <w:r w:rsidR="00E71248" w:rsidRPr="00370F05">
        <w:rPr>
          <w:rFonts w:asciiTheme="minorHAnsi" w:hAnsiTheme="minorHAnsi" w:cstheme="minorHAnsi"/>
          <w:color w:val="000000"/>
          <w:sz w:val="22"/>
          <w:szCs w:val="22"/>
        </w:rPr>
        <w:t>attia a 5 anni</w:t>
      </w:r>
      <w:r w:rsidR="0099241A">
        <w:rPr>
          <w:rFonts w:asciiTheme="minorHAnsi" w:hAnsiTheme="minorHAnsi" w:cstheme="minorHAnsi"/>
          <w:color w:val="000000"/>
          <w:sz w:val="22"/>
          <w:szCs w:val="22"/>
        </w:rPr>
        <w:t xml:space="preserve"> del 90</w:t>
      </w:r>
      <w:r w:rsidR="00EF0FE6" w:rsidRPr="00370F05">
        <w:rPr>
          <w:rFonts w:asciiTheme="minorHAnsi" w:hAnsiTheme="minorHAnsi" w:cstheme="minorHAnsi"/>
          <w:color w:val="000000"/>
          <w:sz w:val="22"/>
          <w:szCs w:val="22"/>
        </w:rPr>
        <w:t xml:space="preserve">% con </w:t>
      </w:r>
      <w:proofErr w:type="spellStart"/>
      <w:r w:rsidR="00EF0FE6" w:rsidRPr="00370F05">
        <w:rPr>
          <w:rFonts w:asciiTheme="minorHAnsi" w:hAnsiTheme="minorHAnsi" w:cstheme="minorHAnsi"/>
          <w:color w:val="000000"/>
          <w:sz w:val="22"/>
          <w:szCs w:val="22"/>
        </w:rPr>
        <w:t>anastr</w:t>
      </w:r>
      <w:r w:rsidR="00E71248" w:rsidRPr="00370F05">
        <w:rPr>
          <w:rFonts w:asciiTheme="minorHAnsi" w:hAnsiTheme="minorHAnsi" w:cstheme="minorHAnsi"/>
          <w:color w:val="000000"/>
          <w:sz w:val="22"/>
          <w:szCs w:val="22"/>
        </w:rPr>
        <w:t>ozolo</w:t>
      </w:r>
      <w:proofErr w:type="spellEnd"/>
      <w:r w:rsidR="00E71248" w:rsidRPr="00370F05">
        <w:rPr>
          <w:rFonts w:asciiTheme="minorHAnsi" w:hAnsiTheme="minorHAnsi" w:cstheme="minorHAnsi"/>
          <w:color w:val="000000"/>
          <w:sz w:val="22"/>
          <w:szCs w:val="22"/>
        </w:rPr>
        <w:t xml:space="preserve"> (124 eventi), 88</w:t>
      </w:r>
      <w:r w:rsidR="00EF0FE6" w:rsidRPr="00370F05">
        <w:rPr>
          <w:rFonts w:asciiTheme="minorHAnsi" w:hAnsiTheme="minorHAnsi" w:cstheme="minorHAnsi"/>
          <w:color w:val="000000"/>
          <w:sz w:val="22"/>
          <w:szCs w:val="22"/>
        </w:rPr>
        <w:t>% co</w:t>
      </w:r>
      <w:r w:rsidR="00E71248" w:rsidRPr="00370F05">
        <w:rPr>
          <w:rFonts w:asciiTheme="minorHAnsi" w:hAnsiTheme="minorHAnsi" w:cstheme="minorHAnsi"/>
          <w:color w:val="000000"/>
          <w:sz w:val="22"/>
          <w:szCs w:val="22"/>
        </w:rPr>
        <w:t xml:space="preserve">n </w:t>
      </w:r>
      <w:proofErr w:type="spellStart"/>
      <w:r w:rsidR="00E71248" w:rsidRPr="00370F05">
        <w:rPr>
          <w:rFonts w:asciiTheme="minorHAnsi" w:hAnsiTheme="minorHAnsi" w:cstheme="minorHAnsi"/>
          <w:color w:val="000000"/>
          <w:sz w:val="22"/>
          <w:szCs w:val="22"/>
        </w:rPr>
        <w:t>exemestane</w:t>
      </w:r>
      <w:proofErr w:type="spellEnd"/>
      <w:r w:rsidR="00E71248" w:rsidRPr="00370F05">
        <w:rPr>
          <w:rFonts w:asciiTheme="minorHAnsi" w:hAnsiTheme="minorHAnsi" w:cstheme="minorHAnsi"/>
          <w:color w:val="000000"/>
          <w:sz w:val="22"/>
          <w:szCs w:val="22"/>
        </w:rPr>
        <w:t xml:space="preserve"> (148 eventi) e 89.4% </w:t>
      </w:r>
      <w:r w:rsidR="00EF0FE6" w:rsidRPr="00370F05">
        <w:rPr>
          <w:rFonts w:asciiTheme="minorHAnsi" w:hAnsiTheme="minorHAnsi" w:cstheme="minorHAnsi"/>
          <w:color w:val="000000"/>
          <w:sz w:val="22"/>
          <w:szCs w:val="22"/>
        </w:rPr>
        <w:t xml:space="preserve">con </w:t>
      </w:r>
      <w:proofErr w:type="spellStart"/>
      <w:r w:rsidR="00EF0FE6" w:rsidRPr="00370F05">
        <w:rPr>
          <w:rFonts w:asciiTheme="minorHAnsi" w:hAnsiTheme="minorHAnsi" w:cstheme="minorHAnsi"/>
          <w:color w:val="000000"/>
          <w:sz w:val="22"/>
          <w:szCs w:val="22"/>
        </w:rPr>
        <w:t>le</w:t>
      </w:r>
      <w:r w:rsidR="00E71248" w:rsidRPr="00370F05">
        <w:rPr>
          <w:rFonts w:asciiTheme="minorHAnsi" w:hAnsiTheme="minorHAnsi" w:cstheme="minorHAnsi"/>
          <w:color w:val="000000"/>
          <w:sz w:val="22"/>
          <w:szCs w:val="22"/>
        </w:rPr>
        <w:t>trozolo</w:t>
      </w:r>
      <w:proofErr w:type="spellEnd"/>
      <w:r w:rsidR="00E71248" w:rsidRPr="00370F05">
        <w:rPr>
          <w:rFonts w:asciiTheme="minorHAnsi" w:hAnsiTheme="minorHAnsi" w:cstheme="minorHAnsi"/>
          <w:color w:val="000000"/>
          <w:sz w:val="22"/>
          <w:szCs w:val="22"/>
        </w:rPr>
        <w:t xml:space="preserve"> (129 eventi)</w:t>
      </w:r>
      <w:r w:rsidR="00EF0FE6" w:rsidRPr="00370F05">
        <w:rPr>
          <w:rFonts w:asciiTheme="minorHAnsi" w:hAnsiTheme="minorHAnsi" w:cstheme="minorHAnsi"/>
          <w:color w:val="000000"/>
          <w:sz w:val="22"/>
          <w:szCs w:val="22"/>
        </w:rPr>
        <w:t xml:space="preserve">. Non si sono verificati eventi avversi gravi imprevisti o decessi correlati al trattamento. </w:t>
      </w:r>
      <w:r w:rsidRPr="00370F05">
        <w:rPr>
          <w:rFonts w:asciiTheme="minorHAnsi" w:hAnsiTheme="minorHAnsi" w:cstheme="minorHAnsi"/>
          <w:color w:val="000000"/>
          <w:sz w:val="22"/>
          <w:szCs w:val="22"/>
        </w:rPr>
        <w:t xml:space="preserve"> </w:t>
      </w:r>
      <w:r w:rsidRPr="00370F05">
        <w:rPr>
          <w:rFonts w:asciiTheme="minorHAnsi" w:hAnsiTheme="minorHAnsi" w:cstheme="minorHAnsi"/>
          <w:color w:val="232323"/>
          <w:sz w:val="22"/>
          <w:szCs w:val="22"/>
        </w:rPr>
        <w:t>Gli effetti collaterali muscolo</w:t>
      </w:r>
      <w:r w:rsidRPr="00370F05">
        <w:rPr>
          <w:rFonts w:asciiTheme="minorHAnsi" w:hAnsiTheme="minorHAnsi" w:cstheme="minorHAnsi"/>
          <w:color w:val="232323"/>
          <w:sz w:val="22"/>
          <w:szCs w:val="22"/>
        </w:rPr>
        <w:t>-</w:t>
      </w:r>
      <w:r w:rsidRPr="00370F05">
        <w:rPr>
          <w:rFonts w:asciiTheme="minorHAnsi" w:hAnsiTheme="minorHAnsi" w:cstheme="minorHAnsi"/>
          <w:color w:val="232323"/>
          <w:sz w:val="22"/>
          <w:szCs w:val="22"/>
        </w:rPr>
        <w:t xml:space="preserve">scheletrici di grado 3–4 erano simili nei gruppi </w:t>
      </w:r>
      <w:proofErr w:type="spellStart"/>
      <w:r w:rsidRPr="00370F05">
        <w:rPr>
          <w:rFonts w:asciiTheme="minorHAnsi" w:hAnsiTheme="minorHAnsi" w:cstheme="minorHAnsi"/>
          <w:color w:val="232323"/>
          <w:sz w:val="22"/>
          <w:szCs w:val="22"/>
        </w:rPr>
        <w:t>switch</w:t>
      </w:r>
      <w:proofErr w:type="spellEnd"/>
      <w:r w:rsidRPr="00370F05">
        <w:rPr>
          <w:rFonts w:asciiTheme="minorHAnsi" w:hAnsiTheme="minorHAnsi" w:cstheme="minorHAnsi"/>
          <w:color w:val="232323"/>
          <w:sz w:val="22"/>
          <w:szCs w:val="22"/>
        </w:rPr>
        <w:t xml:space="preserve"> rispetto a quelli </w:t>
      </w:r>
      <w:proofErr w:type="spellStart"/>
      <w:r w:rsidRPr="00370F05">
        <w:rPr>
          <w:rFonts w:asciiTheme="minorHAnsi" w:hAnsiTheme="minorHAnsi" w:cstheme="minorHAnsi"/>
          <w:color w:val="232323"/>
          <w:sz w:val="22"/>
          <w:szCs w:val="22"/>
        </w:rPr>
        <w:t>upfront</w:t>
      </w:r>
      <w:proofErr w:type="spellEnd"/>
      <w:r w:rsidRPr="00370F05">
        <w:rPr>
          <w:rFonts w:asciiTheme="minorHAnsi" w:hAnsiTheme="minorHAnsi" w:cstheme="minorHAnsi"/>
          <w:color w:val="232323"/>
          <w:sz w:val="22"/>
          <w:szCs w:val="22"/>
        </w:rPr>
        <w:t xml:space="preserve"> (7% per entrambe le strategie</w:t>
      </w:r>
      <w:r w:rsidRPr="00370F05">
        <w:rPr>
          <w:rFonts w:asciiTheme="minorHAnsi" w:hAnsiTheme="minorHAnsi" w:cstheme="minorHAnsi"/>
          <w:color w:val="232323"/>
          <w:sz w:val="22"/>
          <w:szCs w:val="22"/>
        </w:rPr>
        <w:t xml:space="preserve"> )</w:t>
      </w:r>
      <w:r w:rsidR="0099241A">
        <w:rPr>
          <w:rFonts w:asciiTheme="minorHAnsi" w:hAnsiTheme="minorHAnsi" w:cstheme="minorHAnsi"/>
          <w:color w:val="232323"/>
          <w:sz w:val="22"/>
          <w:szCs w:val="22"/>
        </w:rPr>
        <w:t>,</w:t>
      </w:r>
      <w:r w:rsidRPr="00370F05">
        <w:rPr>
          <w:rFonts w:asciiTheme="minorHAnsi" w:hAnsiTheme="minorHAnsi" w:cstheme="minorHAnsi"/>
          <w:color w:val="000000"/>
          <w:sz w:val="22"/>
          <w:szCs w:val="22"/>
        </w:rPr>
        <w:t xml:space="preserve"> mentre quelli</w:t>
      </w:r>
      <w:r w:rsidR="00EF0FE6" w:rsidRPr="00370F05">
        <w:rPr>
          <w:rFonts w:asciiTheme="minorHAnsi" w:hAnsiTheme="minorHAnsi" w:cstheme="minorHAnsi"/>
          <w:color w:val="000000"/>
          <w:sz w:val="22"/>
          <w:szCs w:val="22"/>
        </w:rPr>
        <w:t xml:space="preserve"> di grado 1 erano più fre</w:t>
      </w:r>
      <w:r w:rsidRPr="00370F05">
        <w:rPr>
          <w:rFonts w:asciiTheme="minorHAnsi" w:hAnsiTheme="minorHAnsi" w:cstheme="minorHAnsi"/>
          <w:color w:val="000000"/>
          <w:sz w:val="22"/>
          <w:szCs w:val="22"/>
        </w:rPr>
        <w:t>quenti con la terapia up-front risp</w:t>
      </w:r>
      <w:r w:rsidR="0099241A">
        <w:rPr>
          <w:rFonts w:asciiTheme="minorHAnsi" w:hAnsiTheme="minorHAnsi" w:cstheme="minorHAnsi"/>
          <w:color w:val="000000"/>
          <w:sz w:val="22"/>
          <w:szCs w:val="22"/>
        </w:rPr>
        <w:t>etto</w:t>
      </w:r>
      <w:r w:rsidRPr="00370F05">
        <w:rPr>
          <w:rFonts w:asciiTheme="minorHAnsi" w:hAnsiTheme="minorHAnsi" w:cstheme="minorHAnsi"/>
          <w:color w:val="000000"/>
          <w:sz w:val="22"/>
          <w:szCs w:val="22"/>
        </w:rPr>
        <w:t xml:space="preserve"> a quella di </w:t>
      </w:r>
      <w:proofErr w:type="spellStart"/>
      <w:r w:rsidRPr="00370F05">
        <w:rPr>
          <w:rFonts w:asciiTheme="minorHAnsi" w:hAnsiTheme="minorHAnsi" w:cstheme="minorHAnsi"/>
          <w:color w:val="000000"/>
          <w:sz w:val="22"/>
          <w:szCs w:val="22"/>
        </w:rPr>
        <w:t>switch</w:t>
      </w:r>
      <w:proofErr w:type="spellEnd"/>
      <w:r w:rsidRPr="00370F05">
        <w:rPr>
          <w:rFonts w:asciiTheme="minorHAnsi" w:hAnsiTheme="minorHAnsi" w:cstheme="minorHAnsi"/>
          <w:color w:val="000000"/>
          <w:sz w:val="22"/>
          <w:szCs w:val="22"/>
        </w:rPr>
        <w:t xml:space="preserve"> :  52% (per</w:t>
      </w:r>
      <w:r w:rsidR="00EF0FE6" w:rsidRPr="00370F05">
        <w:rPr>
          <w:rFonts w:asciiTheme="minorHAnsi" w:hAnsiTheme="minorHAnsi" w:cstheme="minorHAnsi"/>
          <w:color w:val="000000"/>
          <w:sz w:val="22"/>
          <w:szCs w:val="22"/>
        </w:rPr>
        <w:t xml:space="preserve"> </w:t>
      </w:r>
      <w:r w:rsidRPr="00370F05">
        <w:rPr>
          <w:rFonts w:asciiTheme="minorHAnsi" w:hAnsiTheme="minorHAnsi" w:cstheme="minorHAnsi"/>
          <w:color w:val="000000"/>
          <w:sz w:val="22"/>
          <w:szCs w:val="22"/>
        </w:rPr>
        <w:t>924/1766 pazienti) contro 42% (per</w:t>
      </w:r>
      <w:r w:rsidR="00EF0FE6" w:rsidRPr="00370F05">
        <w:rPr>
          <w:rFonts w:asciiTheme="minorHAnsi" w:hAnsiTheme="minorHAnsi" w:cstheme="minorHAnsi"/>
          <w:color w:val="000000"/>
          <w:sz w:val="22"/>
          <w:szCs w:val="22"/>
        </w:rPr>
        <w:t xml:space="preserve"> </w:t>
      </w:r>
      <w:r w:rsidRPr="00370F05">
        <w:rPr>
          <w:rFonts w:asciiTheme="minorHAnsi" w:hAnsiTheme="minorHAnsi" w:cstheme="minorHAnsi"/>
          <w:color w:val="000000"/>
          <w:sz w:val="22"/>
          <w:szCs w:val="22"/>
        </w:rPr>
        <w:t>745/1761 pazienti)</w:t>
      </w:r>
      <w:r w:rsidR="00EF0FE6" w:rsidRPr="00370F05">
        <w:rPr>
          <w:rFonts w:asciiTheme="minorHAnsi" w:hAnsiTheme="minorHAnsi" w:cstheme="minorHAnsi"/>
          <w:color w:val="000000"/>
          <w:sz w:val="22"/>
          <w:szCs w:val="22"/>
        </w:rPr>
        <w:t xml:space="preserve">. </w:t>
      </w:r>
    </w:p>
    <w:p w:rsidR="00370F05" w:rsidRDefault="00370F05" w:rsidP="00B71EC8">
      <w:pPr>
        <w:spacing w:line="240" w:lineRule="auto"/>
        <w:contextualSpacing/>
        <w:jc w:val="both"/>
        <w:rPr>
          <w:b/>
        </w:rPr>
      </w:pPr>
      <w:r w:rsidRPr="00495F2F">
        <w:rPr>
          <w:b/>
        </w:rPr>
        <w:t>Interpretazione e prospettive</w:t>
      </w:r>
    </w:p>
    <w:p w:rsidR="00370F05" w:rsidRDefault="00370F05" w:rsidP="00B71EC8">
      <w:pPr>
        <w:spacing w:line="240" w:lineRule="auto"/>
        <w:contextualSpacing/>
        <w:jc w:val="both"/>
        <w:rPr>
          <w:rFonts w:cstheme="minorHAnsi"/>
          <w:color w:val="000000"/>
        </w:rPr>
      </w:pPr>
      <w:r>
        <w:rPr>
          <w:rFonts w:cstheme="minorHAnsi"/>
          <w:color w:val="000000"/>
        </w:rPr>
        <w:t xml:space="preserve">Lo studio ha dimostrato che </w:t>
      </w:r>
      <w:r w:rsidRPr="00370F05">
        <w:rPr>
          <w:rFonts w:cstheme="minorHAnsi"/>
          <w:color w:val="000000"/>
        </w:rPr>
        <w:t xml:space="preserve">5 anni di trattamento con </w:t>
      </w:r>
      <w:r>
        <w:rPr>
          <w:rFonts w:cstheme="minorHAnsi"/>
          <w:color w:val="000000"/>
        </w:rPr>
        <w:t xml:space="preserve">ciascuno dei tre inibitori delle </w:t>
      </w:r>
      <w:proofErr w:type="spellStart"/>
      <w:r w:rsidRPr="00370F05">
        <w:rPr>
          <w:rFonts w:cstheme="minorHAnsi"/>
          <w:color w:val="000000"/>
        </w:rPr>
        <w:t>aromatasi</w:t>
      </w:r>
      <w:proofErr w:type="spellEnd"/>
      <w:r w:rsidRPr="00370F05">
        <w:rPr>
          <w:rFonts w:cstheme="minorHAnsi"/>
          <w:color w:val="000000"/>
        </w:rPr>
        <w:t xml:space="preserve"> non </w:t>
      </w:r>
      <w:r>
        <w:rPr>
          <w:rFonts w:cstheme="minorHAnsi"/>
          <w:color w:val="000000"/>
        </w:rPr>
        <w:t>hanno presentato vantaggi rispetto</w:t>
      </w:r>
      <w:r w:rsidRPr="00370F05">
        <w:rPr>
          <w:rFonts w:cstheme="minorHAnsi"/>
          <w:color w:val="000000"/>
        </w:rPr>
        <w:t xml:space="preserve"> a 2 anni di </w:t>
      </w:r>
      <w:proofErr w:type="spellStart"/>
      <w:r w:rsidRPr="00370F05">
        <w:rPr>
          <w:rFonts w:cstheme="minorHAnsi"/>
          <w:color w:val="000000"/>
        </w:rPr>
        <w:t>tamoxifene</w:t>
      </w:r>
      <w:proofErr w:type="spellEnd"/>
      <w:r w:rsidRPr="00370F05">
        <w:rPr>
          <w:rFonts w:cstheme="minorHAnsi"/>
          <w:color w:val="000000"/>
        </w:rPr>
        <w:t xml:space="preserve"> seguiti da 3 anni di inibitori dell'</w:t>
      </w:r>
      <w:proofErr w:type="spellStart"/>
      <w:r w:rsidRPr="00370F05">
        <w:rPr>
          <w:rFonts w:cstheme="minorHAnsi"/>
          <w:color w:val="000000"/>
        </w:rPr>
        <w:t>aromatasi</w:t>
      </w:r>
      <w:proofErr w:type="spellEnd"/>
      <w:r w:rsidRPr="00370F05">
        <w:rPr>
          <w:rFonts w:cstheme="minorHAnsi"/>
          <w:color w:val="000000"/>
        </w:rPr>
        <w:t xml:space="preserve">. Nessuno dei </w:t>
      </w:r>
      <w:r w:rsidR="00AA46F6">
        <w:rPr>
          <w:rFonts w:cstheme="minorHAnsi"/>
          <w:color w:val="000000"/>
        </w:rPr>
        <w:t xml:space="preserve">tre inibitori </w:t>
      </w:r>
      <w:r>
        <w:rPr>
          <w:rFonts w:cstheme="minorHAnsi"/>
          <w:color w:val="000000"/>
        </w:rPr>
        <w:t>è risultato essere</w:t>
      </w:r>
      <w:r w:rsidRPr="00370F05">
        <w:rPr>
          <w:rFonts w:cstheme="minorHAnsi"/>
          <w:color w:val="000000"/>
        </w:rPr>
        <w:t xml:space="preserve"> superiore agli altri in termini di efficacia. </w:t>
      </w:r>
    </w:p>
    <w:p w:rsidR="00370F05" w:rsidRDefault="00370F05" w:rsidP="00B71EC8">
      <w:pPr>
        <w:spacing w:line="240" w:lineRule="auto"/>
        <w:contextualSpacing/>
        <w:jc w:val="both"/>
        <w:rPr>
          <w:rFonts w:cstheme="minorHAnsi"/>
          <w:color w:val="000000"/>
        </w:rPr>
      </w:pPr>
      <w:r>
        <w:rPr>
          <w:rFonts w:cstheme="minorHAnsi"/>
          <w:color w:val="000000"/>
        </w:rPr>
        <w:lastRenderedPageBreak/>
        <w:t xml:space="preserve">In considerazione quindi di questi dati, l’approccio ottimale nell’impostazione di un  trattamento ormonale nelle pazienti in </w:t>
      </w:r>
      <w:proofErr w:type="spellStart"/>
      <w:r>
        <w:rPr>
          <w:rFonts w:cstheme="minorHAnsi"/>
          <w:color w:val="000000"/>
        </w:rPr>
        <w:t>postmenopausa</w:t>
      </w:r>
      <w:proofErr w:type="spellEnd"/>
      <w:r>
        <w:rPr>
          <w:rFonts w:cstheme="minorHAnsi"/>
          <w:color w:val="000000"/>
        </w:rPr>
        <w:t xml:space="preserve"> dovrebbe</w:t>
      </w:r>
      <w:r w:rsidRPr="00370F05">
        <w:rPr>
          <w:rFonts w:cstheme="minorHAnsi"/>
          <w:color w:val="000000"/>
        </w:rPr>
        <w:t xml:space="preserve"> </w:t>
      </w:r>
      <w:r w:rsidR="00AA46F6">
        <w:rPr>
          <w:rFonts w:cstheme="minorHAnsi"/>
          <w:color w:val="000000"/>
        </w:rPr>
        <w:t>essere determinato</w:t>
      </w:r>
      <w:r>
        <w:rPr>
          <w:rFonts w:cstheme="minorHAnsi"/>
          <w:color w:val="000000"/>
        </w:rPr>
        <w:t xml:space="preserve"> principalmente dal</w:t>
      </w:r>
      <w:r w:rsidRPr="00370F05">
        <w:rPr>
          <w:rFonts w:cstheme="minorHAnsi"/>
          <w:color w:val="000000"/>
        </w:rPr>
        <w:t xml:space="preserve">la scelta </w:t>
      </w:r>
      <w:r>
        <w:rPr>
          <w:rFonts w:cstheme="minorHAnsi"/>
          <w:color w:val="000000"/>
        </w:rPr>
        <w:t xml:space="preserve">informata e consapevole </w:t>
      </w:r>
      <w:r w:rsidR="00AA46F6">
        <w:rPr>
          <w:rFonts w:cstheme="minorHAnsi"/>
          <w:color w:val="000000"/>
        </w:rPr>
        <w:t>della paziente sulla base di un rapporto individuale tra benefici ed effetti collaterali dei diversi farmaci rispetto alla presenza di altre eventuali co-</w:t>
      </w:r>
      <w:proofErr w:type="spellStart"/>
      <w:r w:rsidR="00AA46F6">
        <w:rPr>
          <w:rFonts w:cstheme="minorHAnsi"/>
          <w:color w:val="000000"/>
        </w:rPr>
        <w:t>morbidità</w:t>
      </w:r>
      <w:proofErr w:type="spellEnd"/>
      <w:r w:rsidR="00AA46F6">
        <w:rPr>
          <w:rFonts w:cstheme="minorHAnsi"/>
          <w:color w:val="000000"/>
        </w:rPr>
        <w:t>.</w:t>
      </w:r>
    </w:p>
    <w:p w:rsidR="008C4DCA" w:rsidRDefault="008C4DCA" w:rsidP="00B71EC8">
      <w:pPr>
        <w:spacing w:line="240" w:lineRule="auto"/>
        <w:contextualSpacing/>
        <w:jc w:val="both"/>
        <w:rPr>
          <w:rFonts w:cstheme="minorHAnsi"/>
          <w:color w:val="000000"/>
        </w:rPr>
      </w:pPr>
    </w:p>
    <w:p w:rsidR="004E3B9D" w:rsidRDefault="004E3B9D" w:rsidP="00B71EC8">
      <w:pPr>
        <w:spacing w:line="240" w:lineRule="auto"/>
        <w:contextualSpacing/>
        <w:jc w:val="both"/>
        <w:rPr>
          <w:rFonts w:cstheme="minorHAnsi"/>
          <w:color w:val="000000"/>
        </w:rPr>
      </w:pPr>
    </w:p>
    <w:p w:rsidR="004E3B9D" w:rsidRDefault="004E3B9D" w:rsidP="00B71EC8">
      <w:pPr>
        <w:spacing w:line="240" w:lineRule="auto"/>
        <w:contextualSpacing/>
        <w:jc w:val="both"/>
        <w:rPr>
          <w:rFonts w:cstheme="minorHAnsi"/>
          <w:color w:val="000000"/>
        </w:rPr>
      </w:pPr>
    </w:p>
    <w:p w:rsidR="004E3B9D" w:rsidRDefault="004E3B9D" w:rsidP="00B71EC8">
      <w:pPr>
        <w:spacing w:line="240" w:lineRule="auto"/>
        <w:contextualSpacing/>
        <w:jc w:val="both"/>
        <w:rPr>
          <w:rFonts w:cstheme="minorHAnsi"/>
          <w:color w:val="000000"/>
        </w:rPr>
      </w:pPr>
    </w:p>
    <w:p w:rsidR="008C4DCA" w:rsidRDefault="008C4DCA" w:rsidP="00B71EC8">
      <w:pPr>
        <w:pBdr>
          <w:bottom w:val="single" w:sz="12" w:space="1" w:color="auto"/>
        </w:pBdr>
        <w:spacing w:line="240" w:lineRule="auto"/>
        <w:contextualSpacing/>
        <w:jc w:val="both"/>
        <w:rPr>
          <w:rFonts w:cstheme="minorHAnsi"/>
          <w:color w:val="000000"/>
        </w:rPr>
      </w:pPr>
    </w:p>
    <w:p w:rsidR="008C4DCA" w:rsidRDefault="008C4DCA" w:rsidP="00B71EC8">
      <w:pPr>
        <w:spacing w:line="240" w:lineRule="auto"/>
        <w:contextualSpacing/>
        <w:jc w:val="both"/>
        <w:rPr>
          <w:rFonts w:cstheme="minorHAnsi"/>
          <w:color w:val="000000"/>
        </w:rPr>
      </w:pPr>
    </w:p>
    <w:p w:rsidR="008C4DCA" w:rsidRPr="008C4DCA" w:rsidRDefault="008C4DCA" w:rsidP="008C4DCA">
      <w:pPr>
        <w:spacing w:before="58" w:after="58" w:line="240" w:lineRule="auto"/>
        <w:contextualSpacing/>
        <w:jc w:val="both"/>
        <w:rPr>
          <w:i/>
          <w:iCs/>
          <w:sz w:val="24"/>
          <w:szCs w:val="24"/>
        </w:rPr>
      </w:pPr>
      <w:r w:rsidRPr="008C4DCA">
        <w:rPr>
          <w:b/>
          <w:bCs/>
          <w:sz w:val="24"/>
          <w:szCs w:val="24"/>
        </w:rPr>
        <w:t>Long-</w:t>
      </w:r>
      <w:proofErr w:type="spellStart"/>
      <w:r w:rsidRPr="008C4DCA">
        <w:rPr>
          <w:b/>
          <w:bCs/>
          <w:sz w:val="24"/>
          <w:szCs w:val="24"/>
        </w:rPr>
        <w:t>term</w:t>
      </w:r>
      <w:proofErr w:type="spellEnd"/>
      <w:r w:rsidRPr="008C4DCA">
        <w:rPr>
          <w:b/>
          <w:bCs/>
          <w:sz w:val="24"/>
          <w:szCs w:val="24"/>
        </w:rPr>
        <w:t xml:space="preserve"> follow-up of </w:t>
      </w:r>
      <w:proofErr w:type="spellStart"/>
      <w:r w:rsidRPr="008C4DCA">
        <w:rPr>
          <w:b/>
          <w:bCs/>
          <w:sz w:val="24"/>
          <w:szCs w:val="24"/>
        </w:rPr>
        <w:t>cardiac</w:t>
      </w:r>
      <w:proofErr w:type="spellEnd"/>
      <w:r w:rsidRPr="008C4DCA">
        <w:rPr>
          <w:b/>
          <w:bCs/>
          <w:sz w:val="24"/>
          <w:szCs w:val="24"/>
        </w:rPr>
        <w:t xml:space="preserve"> </w:t>
      </w:r>
      <w:proofErr w:type="spellStart"/>
      <w:r w:rsidRPr="008C4DCA">
        <w:rPr>
          <w:b/>
          <w:bCs/>
          <w:sz w:val="24"/>
          <w:szCs w:val="24"/>
        </w:rPr>
        <w:t>function</w:t>
      </w:r>
      <w:proofErr w:type="spellEnd"/>
      <w:r w:rsidRPr="008C4DCA">
        <w:rPr>
          <w:b/>
          <w:bCs/>
          <w:sz w:val="24"/>
          <w:szCs w:val="24"/>
        </w:rPr>
        <w:t xml:space="preserve"> and </w:t>
      </w:r>
      <w:proofErr w:type="spellStart"/>
      <w:r w:rsidRPr="008C4DCA">
        <w:rPr>
          <w:b/>
          <w:bCs/>
          <w:sz w:val="24"/>
          <w:szCs w:val="24"/>
        </w:rPr>
        <w:t>quality</w:t>
      </w:r>
      <w:proofErr w:type="spellEnd"/>
      <w:r w:rsidRPr="008C4DCA">
        <w:rPr>
          <w:b/>
          <w:bCs/>
          <w:sz w:val="24"/>
          <w:szCs w:val="24"/>
        </w:rPr>
        <w:t xml:space="preserve"> of life for </w:t>
      </w:r>
      <w:proofErr w:type="spellStart"/>
      <w:r w:rsidRPr="008C4DCA">
        <w:rPr>
          <w:b/>
          <w:bCs/>
          <w:sz w:val="24"/>
          <w:szCs w:val="24"/>
        </w:rPr>
        <w:t>patients</w:t>
      </w:r>
      <w:proofErr w:type="spellEnd"/>
      <w:r w:rsidRPr="008C4DCA">
        <w:rPr>
          <w:b/>
          <w:bCs/>
          <w:sz w:val="24"/>
          <w:szCs w:val="24"/>
        </w:rPr>
        <w:t xml:space="preserve"> in NSABP </w:t>
      </w:r>
      <w:proofErr w:type="spellStart"/>
      <w:r w:rsidRPr="008C4DCA">
        <w:rPr>
          <w:b/>
          <w:bCs/>
          <w:sz w:val="24"/>
          <w:szCs w:val="24"/>
        </w:rPr>
        <w:t>Protocol</w:t>
      </w:r>
      <w:proofErr w:type="spellEnd"/>
      <w:r w:rsidRPr="008C4DCA">
        <w:rPr>
          <w:b/>
          <w:bCs/>
          <w:sz w:val="24"/>
          <w:szCs w:val="24"/>
        </w:rPr>
        <w:t xml:space="preserve"> B-31/NRG </w:t>
      </w:r>
      <w:proofErr w:type="spellStart"/>
      <w:r w:rsidRPr="008C4DCA">
        <w:rPr>
          <w:b/>
          <w:bCs/>
          <w:sz w:val="24"/>
          <w:szCs w:val="24"/>
        </w:rPr>
        <w:t>Oncology</w:t>
      </w:r>
      <w:proofErr w:type="spellEnd"/>
      <w:r w:rsidRPr="008C4DCA">
        <w:rPr>
          <w:b/>
          <w:bCs/>
          <w:sz w:val="24"/>
          <w:szCs w:val="24"/>
        </w:rPr>
        <w:t xml:space="preserve">: a </w:t>
      </w:r>
      <w:proofErr w:type="spellStart"/>
      <w:r w:rsidRPr="008C4DCA">
        <w:rPr>
          <w:b/>
          <w:bCs/>
          <w:sz w:val="24"/>
          <w:szCs w:val="24"/>
        </w:rPr>
        <w:t>randomized</w:t>
      </w:r>
      <w:proofErr w:type="spellEnd"/>
      <w:r w:rsidRPr="008C4DCA">
        <w:rPr>
          <w:b/>
          <w:bCs/>
          <w:sz w:val="24"/>
          <w:szCs w:val="24"/>
        </w:rPr>
        <w:t xml:space="preserve"> trial </w:t>
      </w:r>
      <w:proofErr w:type="spellStart"/>
      <w:r w:rsidRPr="008C4DCA">
        <w:rPr>
          <w:b/>
          <w:bCs/>
          <w:sz w:val="24"/>
          <w:szCs w:val="24"/>
        </w:rPr>
        <w:t>comparing</w:t>
      </w:r>
      <w:proofErr w:type="spellEnd"/>
      <w:r w:rsidRPr="008C4DCA">
        <w:rPr>
          <w:b/>
          <w:bCs/>
          <w:sz w:val="24"/>
          <w:szCs w:val="24"/>
        </w:rPr>
        <w:t xml:space="preserve"> the </w:t>
      </w:r>
      <w:proofErr w:type="spellStart"/>
      <w:r w:rsidRPr="008C4DCA">
        <w:rPr>
          <w:b/>
          <w:bCs/>
          <w:sz w:val="24"/>
          <w:szCs w:val="24"/>
        </w:rPr>
        <w:t>safety</w:t>
      </w:r>
      <w:proofErr w:type="spellEnd"/>
      <w:r w:rsidRPr="008C4DCA">
        <w:rPr>
          <w:b/>
          <w:bCs/>
          <w:sz w:val="24"/>
          <w:szCs w:val="24"/>
        </w:rPr>
        <w:t xml:space="preserve"> and </w:t>
      </w:r>
      <w:proofErr w:type="spellStart"/>
      <w:r w:rsidRPr="008C4DCA">
        <w:rPr>
          <w:b/>
          <w:bCs/>
          <w:sz w:val="24"/>
          <w:szCs w:val="24"/>
        </w:rPr>
        <w:t>efficacy</w:t>
      </w:r>
      <w:proofErr w:type="spellEnd"/>
      <w:r w:rsidRPr="008C4DCA">
        <w:rPr>
          <w:b/>
          <w:bCs/>
          <w:sz w:val="24"/>
          <w:szCs w:val="24"/>
        </w:rPr>
        <w:t xml:space="preserve"> of </w:t>
      </w:r>
      <w:proofErr w:type="spellStart"/>
      <w:r w:rsidRPr="008C4DCA">
        <w:rPr>
          <w:b/>
          <w:bCs/>
          <w:sz w:val="24"/>
          <w:szCs w:val="24"/>
        </w:rPr>
        <w:t>doxorubicin</w:t>
      </w:r>
      <w:proofErr w:type="spellEnd"/>
      <w:r w:rsidRPr="008C4DCA">
        <w:rPr>
          <w:b/>
          <w:bCs/>
          <w:sz w:val="24"/>
          <w:szCs w:val="24"/>
        </w:rPr>
        <w:t xml:space="preserve"> and </w:t>
      </w:r>
      <w:proofErr w:type="spellStart"/>
      <w:r w:rsidRPr="008C4DCA">
        <w:rPr>
          <w:b/>
          <w:bCs/>
          <w:sz w:val="24"/>
          <w:szCs w:val="24"/>
        </w:rPr>
        <w:t>cyclophosphamide</w:t>
      </w:r>
      <w:proofErr w:type="spellEnd"/>
      <w:r w:rsidRPr="008C4DCA">
        <w:rPr>
          <w:b/>
          <w:bCs/>
          <w:sz w:val="24"/>
          <w:szCs w:val="24"/>
        </w:rPr>
        <w:t xml:space="preserve"> (AC) </w:t>
      </w:r>
      <w:proofErr w:type="spellStart"/>
      <w:r w:rsidRPr="008C4DCA">
        <w:rPr>
          <w:b/>
          <w:bCs/>
          <w:sz w:val="24"/>
          <w:szCs w:val="24"/>
        </w:rPr>
        <w:t>followed</w:t>
      </w:r>
      <w:proofErr w:type="spellEnd"/>
      <w:r w:rsidRPr="008C4DCA">
        <w:rPr>
          <w:b/>
          <w:bCs/>
          <w:sz w:val="24"/>
          <w:szCs w:val="24"/>
        </w:rPr>
        <w:t xml:space="preserve"> by </w:t>
      </w:r>
      <w:proofErr w:type="spellStart"/>
      <w:r w:rsidRPr="008C4DCA">
        <w:rPr>
          <w:b/>
          <w:bCs/>
          <w:sz w:val="24"/>
          <w:szCs w:val="24"/>
        </w:rPr>
        <w:t>paclitaxel</w:t>
      </w:r>
      <w:proofErr w:type="spellEnd"/>
      <w:r w:rsidRPr="008C4DCA">
        <w:rPr>
          <w:b/>
          <w:bCs/>
          <w:sz w:val="24"/>
          <w:szCs w:val="24"/>
        </w:rPr>
        <w:t xml:space="preserve"> with AC </w:t>
      </w:r>
      <w:proofErr w:type="spellStart"/>
      <w:r w:rsidRPr="008C4DCA">
        <w:rPr>
          <w:b/>
          <w:bCs/>
          <w:sz w:val="24"/>
          <w:szCs w:val="24"/>
        </w:rPr>
        <w:t>followed</w:t>
      </w:r>
      <w:proofErr w:type="spellEnd"/>
      <w:r w:rsidRPr="008C4DCA">
        <w:rPr>
          <w:b/>
          <w:bCs/>
          <w:sz w:val="24"/>
          <w:szCs w:val="24"/>
        </w:rPr>
        <w:t xml:space="preserve"> by </w:t>
      </w:r>
      <w:proofErr w:type="spellStart"/>
      <w:r w:rsidRPr="008C4DCA">
        <w:rPr>
          <w:b/>
          <w:bCs/>
          <w:sz w:val="24"/>
          <w:szCs w:val="24"/>
        </w:rPr>
        <w:t>paclitaxel</w:t>
      </w:r>
      <w:proofErr w:type="spellEnd"/>
      <w:r w:rsidRPr="008C4DCA">
        <w:rPr>
          <w:b/>
          <w:bCs/>
          <w:sz w:val="24"/>
          <w:szCs w:val="24"/>
        </w:rPr>
        <w:t xml:space="preserve"> and </w:t>
      </w:r>
      <w:proofErr w:type="spellStart"/>
      <w:r w:rsidRPr="008C4DCA">
        <w:rPr>
          <w:b/>
          <w:bCs/>
          <w:sz w:val="24"/>
          <w:szCs w:val="24"/>
        </w:rPr>
        <w:t>trastuzumab</w:t>
      </w:r>
      <w:proofErr w:type="spellEnd"/>
      <w:r w:rsidRPr="008C4DCA">
        <w:rPr>
          <w:b/>
          <w:bCs/>
          <w:sz w:val="24"/>
          <w:szCs w:val="24"/>
        </w:rPr>
        <w:t xml:space="preserve"> in </w:t>
      </w:r>
      <w:proofErr w:type="spellStart"/>
      <w:r w:rsidRPr="008C4DCA">
        <w:rPr>
          <w:b/>
          <w:bCs/>
          <w:sz w:val="24"/>
          <w:szCs w:val="24"/>
        </w:rPr>
        <w:t>patients</w:t>
      </w:r>
      <w:proofErr w:type="spellEnd"/>
      <w:r w:rsidRPr="008C4DCA">
        <w:rPr>
          <w:b/>
          <w:bCs/>
          <w:sz w:val="24"/>
          <w:szCs w:val="24"/>
        </w:rPr>
        <w:t xml:space="preserve"> with </w:t>
      </w:r>
      <w:proofErr w:type="spellStart"/>
      <w:r w:rsidRPr="008C4DCA">
        <w:rPr>
          <w:b/>
          <w:bCs/>
          <w:sz w:val="24"/>
          <w:szCs w:val="24"/>
        </w:rPr>
        <w:t>node</w:t>
      </w:r>
      <w:proofErr w:type="spellEnd"/>
      <w:r w:rsidRPr="008C4DCA">
        <w:rPr>
          <w:b/>
          <w:bCs/>
          <w:sz w:val="24"/>
          <w:szCs w:val="24"/>
        </w:rPr>
        <w:t xml:space="preserve">-positive </w:t>
      </w:r>
      <w:proofErr w:type="spellStart"/>
      <w:r w:rsidRPr="008C4DCA">
        <w:rPr>
          <w:b/>
          <w:bCs/>
          <w:sz w:val="24"/>
          <w:szCs w:val="24"/>
        </w:rPr>
        <w:t>breast</w:t>
      </w:r>
      <w:proofErr w:type="spellEnd"/>
      <w:r w:rsidRPr="008C4DCA">
        <w:rPr>
          <w:b/>
          <w:bCs/>
          <w:sz w:val="24"/>
          <w:szCs w:val="24"/>
        </w:rPr>
        <w:t xml:space="preserve"> </w:t>
      </w:r>
      <w:proofErr w:type="spellStart"/>
      <w:r w:rsidRPr="008C4DCA">
        <w:rPr>
          <w:b/>
          <w:bCs/>
          <w:sz w:val="24"/>
          <w:szCs w:val="24"/>
        </w:rPr>
        <w:t>cancer</w:t>
      </w:r>
      <w:proofErr w:type="spellEnd"/>
      <w:r w:rsidRPr="008C4DCA">
        <w:rPr>
          <w:b/>
          <w:bCs/>
          <w:sz w:val="24"/>
          <w:szCs w:val="24"/>
        </w:rPr>
        <w:t xml:space="preserve"> with </w:t>
      </w:r>
      <w:proofErr w:type="spellStart"/>
      <w:r w:rsidRPr="008C4DCA">
        <w:rPr>
          <w:b/>
          <w:bCs/>
          <w:sz w:val="24"/>
          <w:szCs w:val="24"/>
        </w:rPr>
        <w:t>tumors</w:t>
      </w:r>
      <w:proofErr w:type="spellEnd"/>
      <w:r w:rsidRPr="008C4DCA">
        <w:rPr>
          <w:b/>
          <w:bCs/>
          <w:sz w:val="24"/>
          <w:szCs w:val="24"/>
        </w:rPr>
        <w:t xml:space="preserve"> </w:t>
      </w:r>
      <w:proofErr w:type="spellStart"/>
      <w:r w:rsidRPr="008C4DCA">
        <w:rPr>
          <w:b/>
          <w:bCs/>
          <w:sz w:val="24"/>
          <w:szCs w:val="24"/>
        </w:rPr>
        <w:t>overexpressing</w:t>
      </w:r>
      <w:proofErr w:type="spellEnd"/>
      <w:r w:rsidRPr="008C4DCA">
        <w:rPr>
          <w:b/>
          <w:bCs/>
          <w:sz w:val="24"/>
          <w:szCs w:val="24"/>
        </w:rPr>
        <w:t xml:space="preserve"> Human </w:t>
      </w:r>
      <w:proofErr w:type="spellStart"/>
      <w:r w:rsidRPr="008C4DCA">
        <w:rPr>
          <w:b/>
          <w:bCs/>
          <w:sz w:val="24"/>
          <w:szCs w:val="24"/>
        </w:rPr>
        <w:t>Epidermal</w:t>
      </w:r>
      <w:proofErr w:type="spellEnd"/>
      <w:r w:rsidRPr="008C4DCA">
        <w:rPr>
          <w:b/>
          <w:bCs/>
          <w:sz w:val="24"/>
          <w:szCs w:val="24"/>
        </w:rPr>
        <w:t xml:space="preserve"> </w:t>
      </w:r>
      <w:proofErr w:type="spellStart"/>
      <w:r w:rsidRPr="008C4DCA">
        <w:rPr>
          <w:b/>
          <w:bCs/>
          <w:sz w:val="24"/>
          <w:szCs w:val="24"/>
        </w:rPr>
        <w:t>Growth</w:t>
      </w:r>
      <w:proofErr w:type="spellEnd"/>
      <w:r w:rsidRPr="008C4DCA">
        <w:rPr>
          <w:b/>
          <w:bCs/>
          <w:sz w:val="24"/>
          <w:szCs w:val="24"/>
        </w:rPr>
        <w:t xml:space="preserve"> </w:t>
      </w:r>
      <w:proofErr w:type="spellStart"/>
      <w:r w:rsidRPr="008C4DCA">
        <w:rPr>
          <w:b/>
          <w:bCs/>
          <w:sz w:val="24"/>
          <w:szCs w:val="24"/>
        </w:rPr>
        <w:t>Factor</w:t>
      </w:r>
      <w:proofErr w:type="spellEnd"/>
      <w:r w:rsidRPr="008C4DCA">
        <w:rPr>
          <w:b/>
          <w:bCs/>
          <w:sz w:val="24"/>
          <w:szCs w:val="24"/>
        </w:rPr>
        <w:t xml:space="preserve"> </w:t>
      </w:r>
      <w:proofErr w:type="spellStart"/>
      <w:r w:rsidRPr="008C4DCA">
        <w:rPr>
          <w:b/>
          <w:bCs/>
          <w:sz w:val="24"/>
          <w:szCs w:val="24"/>
        </w:rPr>
        <w:t>Receptor</w:t>
      </w:r>
      <w:proofErr w:type="spellEnd"/>
      <w:r w:rsidRPr="008C4DCA">
        <w:rPr>
          <w:b/>
          <w:bCs/>
          <w:sz w:val="24"/>
          <w:szCs w:val="24"/>
        </w:rPr>
        <w:t xml:space="preserve"> 2.</w:t>
      </w:r>
    </w:p>
    <w:p w:rsidR="008C4DCA" w:rsidRDefault="008C4DCA" w:rsidP="008C4DCA">
      <w:pPr>
        <w:spacing w:before="58" w:after="58" w:line="240" w:lineRule="auto"/>
        <w:contextualSpacing/>
        <w:jc w:val="both"/>
        <w:rPr>
          <w:i/>
          <w:iCs/>
          <w:sz w:val="24"/>
          <w:szCs w:val="24"/>
        </w:rPr>
      </w:pPr>
      <w:r w:rsidRPr="008C4DCA">
        <w:rPr>
          <w:i/>
          <w:iCs/>
          <w:sz w:val="24"/>
          <w:szCs w:val="24"/>
        </w:rPr>
        <w:t xml:space="preserve">Ganz PA, </w:t>
      </w:r>
      <w:proofErr w:type="spellStart"/>
      <w:r w:rsidRPr="008C4DCA">
        <w:rPr>
          <w:i/>
          <w:iCs/>
          <w:sz w:val="24"/>
          <w:szCs w:val="24"/>
        </w:rPr>
        <w:t>Romond</w:t>
      </w:r>
      <w:proofErr w:type="spellEnd"/>
      <w:r w:rsidRPr="008C4DCA">
        <w:rPr>
          <w:i/>
          <w:iCs/>
          <w:sz w:val="24"/>
          <w:szCs w:val="24"/>
        </w:rPr>
        <w:t xml:space="preserve"> EH, Cecchini RS, et al. </w:t>
      </w:r>
    </w:p>
    <w:p w:rsidR="008C4DCA" w:rsidRDefault="008C4DCA" w:rsidP="008C4DCA">
      <w:pPr>
        <w:spacing w:before="58" w:after="58" w:line="240" w:lineRule="auto"/>
        <w:contextualSpacing/>
        <w:jc w:val="both"/>
        <w:rPr>
          <w:i/>
          <w:iCs/>
          <w:sz w:val="24"/>
          <w:szCs w:val="24"/>
        </w:rPr>
      </w:pPr>
      <w:r w:rsidRPr="008C4DCA">
        <w:rPr>
          <w:b/>
          <w:iCs/>
          <w:sz w:val="24"/>
          <w:szCs w:val="24"/>
        </w:rPr>
        <w:t xml:space="preserve">JCO </w:t>
      </w:r>
      <w:proofErr w:type="spellStart"/>
      <w:r w:rsidRPr="008C4DCA">
        <w:rPr>
          <w:b/>
          <w:iCs/>
          <w:sz w:val="24"/>
          <w:szCs w:val="24"/>
        </w:rPr>
        <w:t>Dec</w:t>
      </w:r>
      <w:proofErr w:type="spellEnd"/>
      <w:r w:rsidRPr="008C4DCA">
        <w:rPr>
          <w:b/>
          <w:iCs/>
          <w:sz w:val="24"/>
          <w:szCs w:val="24"/>
        </w:rPr>
        <w:t xml:space="preserve"> 2017</w:t>
      </w:r>
      <w:r w:rsidRPr="008C4DCA">
        <w:rPr>
          <w:i/>
          <w:iCs/>
          <w:sz w:val="24"/>
          <w:szCs w:val="24"/>
        </w:rPr>
        <w:t>.</w:t>
      </w:r>
    </w:p>
    <w:p w:rsidR="008C4DCA" w:rsidRDefault="008C4DCA" w:rsidP="008C4DCA">
      <w:pPr>
        <w:spacing w:before="58" w:after="58" w:line="240" w:lineRule="auto"/>
        <w:contextualSpacing/>
        <w:jc w:val="both"/>
        <w:rPr>
          <w:i/>
          <w:iCs/>
        </w:rPr>
      </w:pPr>
    </w:p>
    <w:p w:rsidR="008C4DCA" w:rsidRDefault="008C4DCA" w:rsidP="008C4DCA">
      <w:pPr>
        <w:spacing w:before="58" w:after="58" w:line="240" w:lineRule="auto"/>
        <w:contextualSpacing/>
        <w:jc w:val="both"/>
        <w:rPr>
          <w:b/>
          <w:bCs/>
        </w:rPr>
      </w:pPr>
      <w:r>
        <w:rPr>
          <w:b/>
          <w:bCs/>
        </w:rPr>
        <w:t xml:space="preserve">Scopo : </w:t>
      </w:r>
      <w:r>
        <w:t xml:space="preserve">accogliere misure oggettive della </w:t>
      </w:r>
      <w:proofErr w:type="spellStart"/>
      <w:r>
        <w:t>funzionalitá</w:t>
      </w:r>
      <w:proofErr w:type="spellEnd"/>
      <w:r>
        <w:t xml:space="preserve"> cardiaca e della </w:t>
      </w:r>
      <w:proofErr w:type="spellStart"/>
      <w:r>
        <w:t>qualitá</w:t>
      </w:r>
      <w:proofErr w:type="spellEnd"/>
      <w:r>
        <w:t xml:space="preserve"> di vita (HR-</w:t>
      </w:r>
      <w:proofErr w:type="spellStart"/>
      <w:r>
        <w:t>QoL</w:t>
      </w:r>
      <w:proofErr w:type="spellEnd"/>
      <w:r>
        <w:t xml:space="preserve">) e sintomatologia correlata a lungo termine in pazienti sopravviventi e libere da malattie affette da carcinoma della mammella localmente avanzato HER2 positivo, trattate con chemioterapia adiuvante all'interno del protocollo NSABP B-31 che ha testato l'aggiunta del </w:t>
      </w:r>
      <w:proofErr w:type="spellStart"/>
      <w:r>
        <w:t>trastuzumab</w:t>
      </w:r>
      <w:proofErr w:type="spellEnd"/>
      <w:r>
        <w:t xml:space="preserve"> al trattamento </w:t>
      </w:r>
      <w:proofErr w:type="spellStart"/>
      <w:r>
        <w:t>chemiterapico</w:t>
      </w:r>
      <w:proofErr w:type="spellEnd"/>
      <w:r>
        <w:t xml:space="preserve"> standard basato su </w:t>
      </w:r>
      <w:proofErr w:type="spellStart"/>
      <w:r>
        <w:t>paclitaxel</w:t>
      </w:r>
      <w:proofErr w:type="spellEnd"/>
      <w:r>
        <w:t xml:space="preserve"> dopo </w:t>
      </w:r>
      <w:proofErr w:type="spellStart"/>
      <w:r>
        <w:t>doxorubicina</w:t>
      </w:r>
      <w:proofErr w:type="spellEnd"/>
      <w:r>
        <w:t xml:space="preserve"> e </w:t>
      </w:r>
      <w:proofErr w:type="spellStart"/>
      <w:r>
        <w:t>ciclofosfamide</w:t>
      </w:r>
      <w:proofErr w:type="spellEnd"/>
      <w:r>
        <w:t xml:space="preserve"> (AC).  Lo stesso studio aveva mostrato con un follow-up di 7 anni, un'incidenza cumulativa di eventi cardiaci severi significativamente aumentata (4.0% vs 1.3%) nelle pazienti che avevano ricevuto il </w:t>
      </w:r>
      <w:proofErr w:type="spellStart"/>
      <w:r>
        <w:t>trastuzumab</w:t>
      </w:r>
      <w:proofErr w:type="spellEnd"/>
      <w:r>
        <w:t xml:space="preserve"> in aggiunta allo standard, sebbene la </w:t>
      </w:r>
      <w:proofErr w:type="spellStart"/>
      <w:r>
        <w:t>cardiotossicitá</w:t>
      </w:r>
      <w:proofErr w:type="spellEnd"/>
      <w:r>
        <w:t xml:space="preserve"> severa sembrasse un evento acuto e precoce, in quanto solo 2 pazienti avevano sviluppato un'insufficienza cardiaca congestizia ad un tempo &gt;2 anni dall'inizio del </w:t>
      </w:r>
      <w:proofErr w:type="spellStart"/>
      <w:r>
        <w:t>trastuzumab</w:t>
      </w:r>
      <w:proofErr w:type="spellEnd"/>
      <w:r>
        <w:t>.</w:t>
      </w:r>
    </w:p>
    <w:p w:rsidR="008C4DCA" w:rsidRDefault="008C4DCA" w:rsidP="008C4DCA">
      <w:pPr>
        <w:spacing w:before="58" w:after="58" w:line="240" w:lineRule="auto"/>
        <w:contextualSpacing/>
        <w:jc w:val="both"/>
      </w:pPr>
      <w:r>
        <w:rPr>
          <w:b/>
          <w:bCs/>
        </w:rPr>
        <w:t xml:space="preserve">Pazienti e metodi: </w:t>
      </w:r>
      <w:r>
        <w:t xml:space="preserve">la popolazione di studio si riferisce alle pazienti che nel protocollo NSABP B-31 hanno ricevuto </w:t>
      </w:r>
      <w:proofErr w:type="spellStart"/>
      <w:r>
        <w:t>chemiterapia</w:t>
      </w:r>
      <w:proofErr w:type="spellEnd"/>
      <w:r>
        <w:t xml:space="preserve"> con </w:t>
      </w:r>
      <w:proofErr w:type="spellStart"/>
      <w:r>
        <w:t>antracicline</w:t>
      </w:r>
      <w:proofErr w:type="spellEnd"/>
      <w:r>
        <w:t xml:space="preserve"> e </w:t>
      </w:r>
      <w:proofErr w:type="spellStart"/>
      <w:r>
        <w:t>taxano</w:t>
      </w:r>
      <w:proofErr w:type="spellEnd"/>
      <w:r>
        <w:t xml:space="preserve"> con o senza </w:t>
      </w:r>
      <w:proofErr w:type="spellStart"/>
      <w:r>
        <w:t>trastuzumab</w:t>
      </w:r>
      <w:proofErr w:type="spellEnd"/>
      <w:r>
        <w:t>. Una valutazione di follow-up a lungo termine é stata intrapresa per quelle pazienti che erano vive e libere da malattia in assenza di storia di ricorrenza tumorale e anamnesi patologica remota positiva per storia cardiologica.</w:t>
      </w:r>
    </w:p>
    <w:p w:rsidR="008C4DCA" w:rsidRDefault="008C4DCA" w:rsidP="008C4DCA">
      <w:pPr>
        <w:spacing w:before="58" w:after="58" w:line="240" w:lineRule="auto"/>
        <w:contextualSpacing/>
        <w:jc w:val="both"/>
      </w:pPr>
      <w:r>
        <w:t xml:space="preserve">La </w:t>
      </w:r>
      <w:proofErr w:type="spellStart"/>
      <w:r>
        <w:t>funzionalitá</w:t>
      </w:r>
      <w:proofErr w:type="spellEnd"/>
      <w:r>
        <w:t xml:space="preserve"> cardiaca é </w:t>
      </w:r>
      <w:proofErr w:type="spellStart"/>
      <w:r>
        <w:t>stat</w:t>
      </w:r>
      <w:proofErr w:type="spellEnd"/>
      <w:r>
        <w:t xml:space="preserve"> valutata usando la frazione di eiezione ventricolare sinistra (LVEF) misurata attraverso uno </w:t>
      </w:r>
      <w:proofErr w:type="spellStart"/>
      <w:r>
        <w:t>scan</w:t>
      </w:r>
      <w:proofErr w:type="spellEnd"/>
      <w:r>
        <w:t xml:space="preserve"> </w:t>
      </w:r>
      <w:proofErr w:type="spellStart"/>
      <w:r>
        <w:t>multigated</w:t>
      </w:r>
      <w:proofErr w:type="spellEnd"/>
      <w:r>
        <w:t xml:space="preserve"> </w:t>
      </w:r>
      <w:proofErr w:type="spellStart"/>
      <w:r>
        <w:t>acquisition</w:t>
      </w:r>
      <w:proofErr w:type="spellEnd"/>
      <w:r>
        <w:t xml:space="preserve"> (MUGA) insieme ai risultati riportati dalle pazienti utilizzando il Duke Activity Status Index (DASI), questionari </w:t>
      </w:r>
      <w:proofErr w:type="spellStart"/>
      <w:r>
        <w:t>Medical</w:t>
      </w:r>
      <w:proofErr w:type="spellEnd"/>
      <w:r>
        <w:t xml:space="preserve"> </w:t>
      </w:r>
      <w:proofErr w:type="spellStart"/>
      <w:r>
        <w:t>Outcomes</w:t>
      </w:r>
      <w:proofErr w:type="spellEnd"/>
      <w:r>
        <w:t xml:space="preserve"> </w:t>
      </w:r>
      <w:proofErr w:type="spellStart"/>
      <w:r>
        <w:t>Study</w:t>
      </w:r>
      <w:proofErr w:type="spellEnd"/>
      <w:r>
        <w:t xml:space="preserve"> e una revisione dei farmaci assunti dalle pazienti e delle condizioni di </w:t>
      </w:r>
      <w:proofErr w:type="spellStart"/>
      <w:r>
        <w:t>comorbiditá</w:t>
      </w:r>
      <w:proofErr w:type="spellEnd"/>
      <w:r>
        <w:t>.</w:t>
      </w:r>
    </w:p>
    <w:p w:rsidR="008C4DCA" w:rsidRDefault="008C4DCA" w:rsidP="008C4DCA">
      <w:pPr>
        <w:spacing w:before="58" w:after="58" w:line="240" w:lineRule="auto"/>
        <w:contextualSpacing/>
        <w:jc w:val="both"/>
        <w:rPr>
          <w:b/>
          <w:bCs/>
        </w:rPr>
      </w:pPr>
    </w:p>
    <w:p w:rsidR="008C4DCA" w:rsidRDefault="008C4DCA" w:rsidP="008C4DCA">
      <w:pPr>
        <w:spacing w:before="58" w:after="58" w:line="240" w:lineRule="auto"/>
        <w:contextualSpacing/>
        <w:jc w:val="both"/>
        <w:rPr>
          <w:b/>
          <w:bCs/>
        </w:rPr>
      </w:pPr>
      <w:r>
        <w:rPr>
          <w:b/>
          <w:bCs/>
        </w:rPr>
        <w:t xml:space="preserve">Risultati </w:t>
      </w:r>
    </w:p>
    <w:p w:rsidR="008C4DCA" w:rsidRDefault="008C4DCA" w:rsidP="008C4DCA">
      <w:pPr>
        <w:spacing w:before="58" w:after="58" w:line="240" w:lineRule="auto"/>
        <w:contextualSpacing/>
        <w:jc w:val="both"/>
      </w:pPr>
      <w:r>
        <w:t xml:space="preserve">Ad un tempo di follow-up mediano di 8.8 anni tra le pazienti idonee allo studio, cinque (4.5%) su 110 nel gruppo di controllo e dieci (3.4%) di 297 nel gruppo del </w:t>
      </w:r>
      <w:proofErr w:type="spellStart"/>
      <w:r>
        <w:t>trastuzumab</w:t>
      </w:r>
      <w:proofErr w:type="spellEnd"/>
      <w:r>
        <w:t xml:space="preserve"> avevano mostrato un declino della LVEF &gt; 10% dal basale a un valore &lt; 50%. Un punteggio DASI </w:t>
      </w:r>
      <w:proofErr w:type="spellStart"/>
      <w:r>
        <w:t>piú</w:t>
      </w:r>
      <w:proofErr w:type="spellEnd"/>
      <w:r>
        <w:t xml:space="preserve"> basso era correlato con l'</w:t>
      </w:r>
      <w:proofErr w:type="spellStart"/>
      <w:r>
        <w:t>etá</w:t>
      </w:r>
      <w:proofErr w:type="spellEnd"/>
      <w:r>
        <w:t xml:space="preserve"> e con l'uso di farmaci per ipertensione, condizioni cardiache, diabete e </w:t>
      </w:r>
      <w:proofErr w:type="spellStart"/>
      <w:r>
        <w:t>iperlipidemia</w:t>
      </w:r>
      <w:proofErr w:type="spellEnd"/>
      <w:r>
        <w:t xml:space="preserve">, ma non con le pazienti che avevano ricevuto il </w:t>
      </w:r>
      <w:proofErr w:type="spellStart"/>
      <w:r>
        <w:t>trastuzumab</w:t>
      </w:r>
      <w:proofErr w:type="spellEnd"/>
      <w:r>
        <w:t>.</w:t>
      </w:r>
    </w:p>
    <w:p w:rsidR="008C4DCA" w:rsidRDefault="008C4DCA" w:rsidP="008C4DCA">
      <w:pPr>
        <w:spacing w:before="58" w:after="58" w:line="240" w:lineRule="auto"/>
        <w:contextualSpacing/>
        <w:jc w:val="both"/>
      </w:pPr>
    </w:p>
    <w:p w:rsidR="008C4DCA" w:rsidRDefault="008C4DCA" w:rsidP="008C4DCA">
      <w:pPr>
        <w:spacing w:before="58" w:after="58" w:line="240" w:lineRule="auto"/>
        <w:contextualSpacing/>
        <w:jc w:val="both"/>
        <w:rPr>
          <w:b/>
        </w:rPr>
      </w:pPr>
      <w:r>
        <w:rPr>
          <w:b/>
        </w:rPr>
        <w:t>Conclusioni</w:t>
      </w:r>
    </w:p>
    <w:p w:rsidR="008C4DCA" w:rsidRDefault="008C4DCA" w:rsidP="008C4DCA">
      <w:pPr>
        <w:spacing w:before="58" w:after="58" w:line="240" w:lineRule="auto"/>
        <w:contextualSpacing/>
        <w:jc w:val="both"/>
        <w:rPr>
          <w:b/>
          <w:bCs/>
        </w:rPr>
      </w:pPr>
      <w:r w:rsidRPr="008C4DCA">
        <w:t>L</w:t>
      </w:r>
      <w:r>
        <w:t xml:space="preserve">a </w:t>
      </w:r>
      <w:proofErr w:type="spellStart"/>
      <w:r>
        <w:t>tossicitá</w:t>
      </w:r>
      <w:proofErr w:type="spellEnd"/>
      <w:r>
        <w:t xml:space="preserve"> cardiaca é stata una delle valutazioni centrali nei trials clinici che hanno valutato l'aggiunta di una terapia target anti-HER2. Sebbene sia emerso che l'incidenza cumulativa di eventi cardiaci severi sia significativamente aumentata nelle pazienti che ricevono </w:t>
      </w:r>
      <w:proofErr w:type="spellStart"/>
      <w:r>
        <w:t>trastuzumab</w:t>
      </w:r>
      <w:proofErr w:type="spellEnd"/>
      <w:r>
        <w:t xml:space="preserve">, questa si delinea come un effetto precoce ed acuto della terapia, infatti il presente studio mostra che ad un follow-up lungo nelle pazienti sopravviventi che non hanno ricevuto altri tipi di terapie sistemiche per ricorrenza di malattia e che non erano precedentemente affette da problematiche cardiologiche, l'aggiunta di </w:t>
      </w:r>
      <w:proofErr w:type="spellStart"/>
      <w:r>
        <w:t>trastuzumab</w:t>
      </w:r>
      <w:proofErr w:type="spellEnd"/>
      <w:r>
        <w:t xml:space="preserve"> non determina un peggioramento della </w:t>
      </w:r>
      <w:proofErr w:type="spellStart"/>
      <w:r>
        <w:t>funzionalitá</w:t>
      </w:r>
      <w:proofErr w:type="spellEnd"/>
      <w:r>
        <w:t xml:space="preserve"> cardiaca a lungo termine, in assenza di sintomatologia cardiologica e con conservato buono stato della </w:t>
      </w:r>
      <w:proofErr w:type="spellStart"/>
      <w:r>
        <w:t>QoL</w:t>
      </w:r>
      <w:proofErr w:type="spellEnd"/>
      <w:r>
        <w:t>.</w:t>
      </w:r>
    </w:p>
    <w:p w:rsidR="008C4DCA" w:rsidRDefault="008C4DCA" w:rsidP="008C4DCA">
      <w:pPr>
        <w:spacing w:before="58" w:after="58" w:line="240" w:lineRule="auto"/>
        <w:contextualSpacing/>
        <w:jc w:val="both"/>
        <w:rPr>
          <w:rFonts w:cs="Times New Roman"/>
        </w:rPr>
      </w:pPr>
      <w:r>
        <w:rPr>
          <w:b/>
          <w:bCs/>
        </w:rPr>
        <w:lastRenderedPageBreak/>
        <w:t>Conclusioni:</w:t>
      </w:r>
      <w:r>
        <w:t xml:space="preserve"> da questo studio, emerge che i</w:t>
      </w:r>
      <w:r>
        <w:rPr>
          <w:rFonts w:cs="Times New Roman"/>
        </w:rPr>
        <w:t xml:space="preserve">n pazienti senza storia di cardiopatia sottostante pretrattamento, l'aggiunta di </w:t>
      </w:r>
      <w:proofErr w:type="spellStart"/>
      <w:r>
        <w:rPr>
          <w:rFonts w:cs="Times New Roman"/>
        </w:rPr>
        <w:t>trastuzumab</w:t>
      </w:r>
      <w:proofErr w:type="spellEnd"/>
      <w:r>
        <w:rPr>
          <w:rFonts w:cs="Times New Roman"/>
        </w:rPr>
        <w:t xml:space="preserve"> alla chemioterapia adiuvante a base di </w:t>
      </w:r>
      <w:proofErr w:type="spellStart"/>
      <w:r>
        <w:rPr>
          <w:rFonts w:cs="Times New Roman"/>
        </w:rPr>
        <w:t>antraciclina</w:t>
      </w:r>
      <w:proofErr w:type="spellEnd"/>
      <w:r>
        <w:rPr>
          <w:rFonts w:cs="Times New Roman"/>
        </w:rPr>
        <w:t xml:space="preserve"> e </w:t>
      </w:r>
      <w:proofErr w:type="spellStart"/>
      <w:r>
        <w:rPr>
          <w:rFonts w:cs="Times New Roman"/>
        </w:rPr>
        <w:t>taxano</w:t>
      </w:r>
      <w:proofErr w:type="spellEnd"/>
      <w:r>
        <w:rPr>
          <w:rFonts w:cs="Times New Roman"/>
        </w:rPr>
        <w:t xml:space="preserve"> non determina un peggioramento a lungo termine della funzione cardiaca, dei sintomi cardiaci o della qualità della vita correlata alla salute. Il questionario DASI può fornire uno strumento semplice e utile per monitorare i cambiamenti riportati dalla paziente che riflettono la sua </w:t>
      </w:r>
      <w:proofErr w:type="spellStart"/>
      <w:r>
        <w:rPr>
          <w:rFonts w:cs="Times New Roman"/>
        </w:rPr>
        <w:t>funzionalitá</w:t>
      </w:r>
      <w:proofErr w:type="spellEnd"/>
      <w:r>
        <w:rPr>
          <w:rFonts w:cs="Times New Roman"/>
        </w:rPr>
        <w:t xml:space="preserve"> cardiaca.</w:t>
      </w:r>
    </w:p>
    <w:p w:rsidR="004E3B9D" w:rsidRDefault="004E3B9D" w:rsidP="008C4DCA">
      <w:pPr>
        <w:spacing w:before="58" w:after="58" w:line="240" w:lineRule="auto"/>
        <w:contextualSpacing/>
        <w:jc w:val="both"/>
        <w:rPr>
          <w:rFonts w:cs="Times New Roman"/>
        </w:rPr>
      </w:pPr>
    </w:p>
    <w:p w:rsidR="004E3B9D" w:rsidRDefault="004E3B9D" w:rsidP="008C4DCA">
      <w:pPr>
        <w:spacing w:before="58" w:after="58" w:line="240" w:lineRule="auto"/>
        <w:contextualSpacing/>
        <w:jc w:val="both"/>
        <w:rPr>
          <w:rFonts w:cs="Times New Roman"/>
        </w:rPr>
      </w:pPr>
    </w:p>
    <w:p w:rsidR="004E3B9D" w:rsidRDefault="004E3B9D" w:rsidP="008C4DCA">
      <w:pPr>
        <w:spacing w:before="58" w:after="58" w:line="240" w:lineRule="auto"/>
        <w:contextualSpacing/>
        <w:jc w:val="both"/>
      </w:pPr>
    </w:p>
    <w:p w:rsidR="008C4DCA" w:rsidRDefault="008C4DCA" w:rsidP="008C4DCA">
      <w:pPr>
        <w:spacing w:line="240" w:lineRule="auto"/>
        <w:contextualSpacing/>
        <w:jc w:val="both"/>
      </w:pPr>
    </w:p>
    <w:p w:rsidR="008C4DCA" w:rsidRDefault="008C4DCA" w:rsidP="008C4DCA">
      <w:pPr>
        <w:spacing w:line="240" w:lineRule="auto"/>
        <w:contextualSpacing/>
        <w:jc w:val="both"/>
        <w:rPr>
          <w:b/>
          <w:bCs/>
        </w:rPr>
      </w:pPr>
      <w:r>
        <w:rPr>
          <w:b/>
          <w:bCs/>
        </w:rPr>
        <w:t>_______________________________________________________________________________________</w:t>
      </w:r>
    </w:p>
    <w:p w:rsidR="008C4DCA" w:rsidRDefault="008C4DCA" w:rsidP="008C4DCA">
      <w:pPr>
        <w:spacing w:line="240" w:lineRule="auto"/>
        <w:contextualSpacing/>
        <w:jc w:val="both"/>
        <w:rPr>
          <w:b/>
          <w:bCs/>
        </w:rPr>
      </w:pPr>
    </w:p>
    <w:p w:rsidR="008C4DCA" w:rsidRPr="008C4DCA" w:rsidRDefault="008C4DCA" w:rsidP="008C4DCA">
      <w:pPr>
        <w:spacing w:before="116" w:after="116" w:line="240" w:lineRule="auto"/>
        <w:contextualSpacing/>
        <w:jc w:val="both"/>
        <w:rPr>
          <w:rFonts w:cs="Times New Roman"/>
          <w:i/>
          <w:iCs/>
          <w:sz w:val="24"/>
          <w:szCs w:val="24"/>
        </w:rPr>
      </w:pPr>
      <w:r w:rsidRPr="008C4DCA">
        <w:rPr>
          <w:rFonts w:cs="Times New Roman"/>
          <w:b/>
          <w:bCs/>
          <w:sz w:val="24"/>
          <w:szCs w:val="24"/>
        </w:rPr>
        <w:t>Long-</w:t>
      </w:r>
      <w:proofErr w:type="spellStart"/>
      <w:r w:rsidRPr="008C4DCA">
        <w:rPr>
          <w:rFonts w:cs="Times New Roman"/>
          <w:b/>
          <w:bCs/>
          <w:sz w:val="24"/>
          <w:szCs w:val="24"/>
        </w:rPr>
        <w:t>term</w:t>
      </w:r>
      <w:proofErr w:type="spellEnd"/>
      <w:r w:rsidRPr="008C4DCA">
        <w:rPr>
          <w:rFonts w:cs="Times New Roman"/>
          <w:b/>
          <w:bCs/>
          <w:sz w:val="24"/>
          <w:szCs w:val="24"/>
        </w:rPr>
        <w:t xml:space="preserve"> </w:t>
      </w:r>
      <w:proofErr w:type="spellStart"/>
      <w:r w:rsidRPr="008C4DCA">
        <w:rPr>
          <w:rFonts w:cs="Times New Roman"/>
          <w:b/>
          <w:bCs/>
          <w:sz w:val="24"/>
          <w:szCs w:val="24"/>
        </w:rPr>
        <w:t>outcomes</w:t>
      </w:r>
      <w:proofErr w:type="spellEnd"/>
      <w:r w:rsidRPr="008C4DCA">
        <w:rPr>
          <w:rFonts w:cs="Times New Roman"/>
          <w:b/>
          <w:bCs/>
          <w:sz w:val="24"/>
          <w:szCs w:val="24"/>
        </w:rPr>
        <w:t xml:space="preserve"> for </w:t>
      </w:r>
      <w:proofErr w:type="spellStart"/>
      <w:r w:rsidRPr="008C4DCA">
        <w:rPr>
          <w:rFonts w:cs="Times New Roman"/>
          <w:b/>
          <w:bCs/>
          <w:sz w:val="24"/>
          <w:szCs w:val="24"/>
        </w:rPr>
        <w:t>neoadjuvant</w:t>
      </w:r>
      <w:proofErr w:type="spellEnd"/>
      <w:r w:rsidRPr="008C4DCA">
        <w:rPr>
          <w:rFonts w:cs="Times New Roman"/>
          <w:b/>
          <w:bCs/>
          <w:sz w:val="24"/>
          <w:szCs w:val="24"/>
        </w:rPr>
        <w:t xml:space="preserve"> versus </w:t>
      </w:r>
      <w:proofErr w:type="spellStart"/>
      <w:r w:rsidRPr="008C4DCA">
        <w:rPr>
          <w:rFonts w:cs="Times New Roman"/>
          <w:b/>
          <w:bCs/>
          <w:sz w:val="24"/>
          <w:szCs w:val="24"/>
        </w:rPr>
        <w:t>adjuvant</w:t>
      </w:r>
      <w:proofErr w:type="spellEnd"/>
      <w:r w:rsidRPr="008C4DCA">
        <w:rPr>
          <w:rFonts w:cs="Times New Roman"/>
          <w:b/>
          <w:bCs/>
          <w:sz w:val="24"/>
          <w:szCs w:val="24"/>
        </w:rPr>
        <w:t xml:space="preserve"> </w:t>
      </w:r>
      <w:proofErr w:type="spellStart"/>
      <w:r w:rsidRPr="008C4DCA">
        <w:rPr>
          <w:rFonts w:cs="Times New Roman"/>
          <w:b/>
          <w:bCs/>
          <w:sz w:val="24"/>
          <w:szCs w:val="24"/>
        </w:rPr>
        <w:t>chemotherapy</w:t>
      </w:r>
      <w:proofErr w:type="spellEnd"/>
      <w:r w:rsidRPr="008C4DCA">
        <w:rPr>
          <w:rFonts w:cs="Times New Roman"/>
          <w:b/>
          <w:bCs/>
          <w:sz w:val="24"/>
          <w:szCs w:val="24"/>
        </w:rPr>
        <w:t xml:space="preserve"> in </w:t>
      </w:r>
      <w:proofErr w:type="spellStart"/>
      <w:r w:rsidRPr="008C4DCA">
        <w:rPr>
          <w:rFonts w:cs="Times New Roman"/>
          <w:b/>
          <w:bCs/>
          <w:sz w:val="24"/>
          <w:szCs w:val="24"/>
        </w:rPr>
        <w:t>early</w:t>
      </w:r>
      <w:proofErr w:type="spellEnd"/>
      <w:r w:rsidRPr="008C4DCA">
        <w:rPr>
          <w:rFonts w:cs="Times New Roman"/>
          <w:b/>
          <w:bCs/>
          <w:sz w:val="24"/>
          <w:szCs w:val="24"/>
        </w:rPr>
        <w:t xml:space="preserve"> </w:t>
      </w:r>
      <w:proofErr w:type="spellStart"/>
      <w:r w:rsidRPr="008C4DCA">
        <w:rPr>
          <w:rFonts w:cs="Times New Roman"/>
          <w:b/>
          <w:bCs/>
          <w:sz w:val="24"/>
          <w:szCs w:val="24"/>
        </w:rPr>
        <w:t>breast</w:t>
      </w:r>
      <w:proofErr w:type="spellEnd"/>
      <w:r w:rsidRPr="008C4DCA">
        <w:rPr>
          <w:rFonts w:cs="Times New Roman"/>
          <w:b/>
          <w:bCs/>
          <w:sz w:val="24"/>
          <w:szCs w:val="24"/>
        </w:rPr>
        <w:t xml:space="preserve"> </w:t>
      </w:r>
      <w:proofErr w:type="spellStart"/>
      <w:r w:rsidRPr="008C4DCA">
        <w:rPr>
          <w:rFonts w:cs="Times New Roman"/>
          <w:b/>
          <w:bCs/>
          <w:sz w:val="24"/>
          <w:szCs w:val="24"/>
        </w:rPr>
        <w:t>cancer</w:t>
      </w:r>
      <w:proofErr w:type="spellEnd"/>
      <w:r w:rsidRPr="008C4DCA">
        <w:rPr>
          <w:rFonts w:cs="Times New Roman"/>
          <w:b/>
          <w:bCs/>
          <w:sz w:val="24"/>
          <w:szCs w:val="24"/>
        </w:rPr>
        <w:t>: meta-</w:t>
      </w:r>
      <w:proofErr w:type="spellStart"/>
      <w:r w:rsidRPr="008C4DCA">
        <w:rPr>
          <w:rFonts w:cs="Times New Roman"/>
          <w:b/>
          <w:bCs/>
          <w:sz w:val="24"/>
          <w:szCs w:val="24"/>
        </w:rPr>
        <w:t>analysis</w:t>
      </w:r>
      <w:proofErr w:type="spellEnd"/>
      <w:r w:rsidRPr="008C4DCA">
        <w:rPr>
          <w:rFonts w:cs="Times New Roman"/>
          <w:b/>
          <w:bCs/>
          <w:sz w:val="24"/>
          <w:szCs w:val="24"/>
        </w:rPr>
        <w:t xml:space="preserve"> of </w:t>
      </w:r>
      <w:proofErr w:type="spellStart"/>
      <w:r w:rsidRPr="008C4DCA">
        <w:rPr>
          <w:rFonts w:cs="Times New Roman"/>
          <w:b/>
          <w:bCs/>
          <w:sz w:val="24"/>
          <w:szCs w:val="24"/>
        </w:rPr>
        <w:t>individual</w:t>
      </w:r>
      <w:proofErr w:type="spellEnd"/>
      <w:r w:rsidRPr="008C4DCA">
        <w:rPr>
          <w:rFonts w:cs="Times New Roman"/>
          <w:b/>
          <w:bCs/>
          <w:sz w:val="24"/>
          <w:szCs w:val="24"/>
        </w:rPr>
        <w:t xml:space="preserve"> </w:t>
      </w:r>
      <w:proofErr w:type="spellStart"/>
      <w:r w:rsidRPr="008C4DCA">
        <w:rPr>
          <w:rFonts w:cs="Times New Roman"/>
          <w:b/>
          <w:bCs/>
          <w:sz w:val="24"/>
          <w:szCs w:val="24"/>
        </w:rPr>
        <w:t>patient</w:t>
      </w:r>
      <w:proofErr w:type="spellEnd"/>
      <w:r w:rsidRPr="008C4DCA">
        <w:rPr>
          <w:rFonts w:cs="Times New Roman"/>
          <w:b/>
          <w:bCs/>
          <w:sz w:val="24"/>
          <w:szCs w:val="24"/>
        </w:rPr>
        <w:t xml:space="preserve"> data from </w:t>
      </w:r>
      <w:proofErr w:type="spellStart"/>
      <w:r w:rsidRPr="008C4DCA">
        <w:rPr>
          <w:rFonts w:cs="Times New Roman"/>
          <w:b/>
          <w:bCs/>
          <w:sz w:val="24"/>
          <w:szCs w:val="24"/>
        </w:rPr>
        <w:t>ten</w:t>
      </w:r>
      <w:proofErr w:type="spellEnd"/>
      <w:r w:rsidRPr="008C4DCA">
        <w:rPr>
          <w:rFonts w:cs="Times New Roman"/>
          <w:b/>
          <w:bCs/>
          <w:sz w:val="24"/>
          <w:szCs w:val="24"/>
        </w:rPr>
        <w:t xml:space="preserve"> </w:t>
      </w:r>
      <w:proofErr w:type="spellStart"/>
      <w:r w:rsidRPr="008C4DCA">
        <w:rPr>
          <w:rFonts w:cs="Times New Roman"/>
          <w:b/>
          <w:bCs/>
          <w:sz w:val="24"/>
          <w:szCs w:val="24"/>
        </w:rPr>
        <w:t>randomized</w:t>
      </w:r>
      <w:proofErr w:type="spellEnd"/>
      <w:r w:rsidRPr="008C4DCA">
        <w:rPr>
          <w:rFonts w:cs="Times New Roman"/>
          <w:b/>
          <w:bCs/>
          <w:sz w:val="24"/>
          <w:szCs w:val="24"/>
        </w:rPr>
        <w:t xml:space="preserve"> trials</w:t>
      </w:r>
    </w:p>
    <w:p w:rsidR="008C4DCA" w:rsidRDefault="008C4DCA" w:rsidP="008C4DCA">
      <w:pPr>
        <w:spacing w:before="116" w:after="116" w:line="240" w:lineRule="auto"/>
        <w:contextualSpacing/>
        <w:jc w:val="both"/>
        <w:rPr>
          <w:rFonts w:cs="Times New Roman"/>
          <w:i/>
          <w:iCs/>
          <w:sz w:val="24"/>
          <w:szCs w:val="24"/>
        </w:rPr>
      </w:pPr>
      <w:proofErr w:type="spellStart"/>
      <w:r w:rsidRPr="008C4DCA">
        <w:rPr>
          <w:rFonts w:cs="Times New Roman"/>
          <w:i/>
          <w:iCs/>
          <w:sz w:val="24"/>
          <w:szCs w:val="24"/>
        </w:rPr>
        <w:t>Early</w:t>
      </w:r>
      <w:proofErr w:type="spellEnd"/>
      <w:r w:rsidRPr="008C4DCA">
        <w:rPr>
          <w:rFonts w:cs="Times New Roman"/>
          <w:i/>
          <w:iCs/>
          <w:sz w:val="24"/>
          <w:szCs w:val="24"/>
        </w:rPr>
        <w:t xml:space="preserve"> </w:t>
      </w:r>
      <w:proofErr w:type="spellStart"/>
      <w:r w:rsidRPr="008C4DCA">
        <w:rPr>
          <w:rFonts w:cs="Times New Roman"/>
          <w:i/>
          <w:iCs/>
          <w:sz w:val="24"/>
          <w:szCs w:val="24"/>
        </w:rPr>
        <w:t>Breast</w:t>
      </w:r>
      <w:proofErr w:type="spellEnd"/>
      <w:r w:rsidRPr="008C4DCA">
        <w:rPr>
          <w:rFonts w:cs="Times New Roman"/>
          <w:i/>
          <w:iCs/>
          <w:sz w:val="24"/>
          <w:szCs w:val="24"/>
        </w:rPr>
        <w:t xml:space="preserve"> </w:t>
      </w:r>
      <w:proofErr w:type="spellStart"/>
      <w:r w:rsidRPr="008C4DCA">
        <w:rPr>
          <w:rFonts w:cs="Times New Roman"/>
          <w:i/>
          <w:iCs/>
          <w:sz w:val="24"/>
          <w:szCs w:val="24"/>
        </w:rPr>
        <w:t>Cancer</w:t>
      </w:r>
      <w:proofErr w:type="spellEnd"/>
      <w:r w:rsidRPr="008C4DCA">
        <w:rPr>
          <w:rFonts w:cs="Times New Roman"/>
          <w:i/>
          <w:iCs/>
          <w:sz w:val="24"/>
          <w:szCs w:val="24"/>
        </w:rPr>
        <w:t xml:space="preserve"> </w:t>
      </w:r>
      <w:proofErr w:type="spellStart"/>
      <w:r w:rsidRPr="008C4DCA">
        <w:rPr>
          <w:rFonts w:cs="Times New Roman"/>
          <w:i/>
          <w:iCs/>
          <w:sz w:val="24"/>
          <w:szCs w:val="24"/>
        </w:rPr>
        <w:t>Trialists'Collaborative</w:t>
      </w:r>
      <w:proofErr w:type="spellEnd"/>
      <w:r w:rsidRPr="008C4DCA">
        <w:rPr>
          <w:rFonts w:cs="Times New Roman"/>
          <w:i/>
          <w:iCs/>
          <w:sz w:val="24"/>
          <w:szCs w:val="24"/>
        </w:rPr>
        <w:t xml:space="preserve"> Group (EBCTG). </w:t>
      </w:r>
    </w:p>
    <w:p w:rsidR="008C4DCA" w:rsidRPr="008C4DCA" w:rsidRDefault="008C4DCA" w:rsidP="008C4DCA">
      <w:pPr>
        <w:spacing w:before="116" w:after="116" w:line="240" w:lineRule="auto"/>
        <w:contextualSpacing/>
        <w:jc w:val="both"/>
        <w:rPr>
          <w:b/>
          <w:iCs/>
          <w:sz w:val="24"/>
          <w:szCs w:val="24"/>
        </w:rPr>
      </w:pPr>
      <w:r w:rsidRPr="008C4DCA">
        <w:rPr>
          <w:rFonts w:cs="Times New Roman"/>
          <w:b/>
          <w:iCs/>
          <w:sz w:val="24"/>
          <w:szCs w:val="24"/>
        </w:rPr>
        <w:t xml:space="preserve">Lancet </w:t>
      </w:r>
      <w:proofErr w:type="spellStart"/>
      <w:r w:rsidRPr="008C4DCA">
        <w:rPr>
          <w:rFonts w:cs="Times New Roman"/>
          <w:b/>
          <w:iCs/>
          <w:sz w:val="24"/>
          <w:szCs w:val="24"/>
        </w:rPr>
        <w:t>Oncol</w:t>
      </w:r>
      <w:proofErr w:type="spellEnd"/>
      <w:r w:rsidRPr="008C4DCA">
        <w:rPr>
          <w:rFonts w:cs="Times New Roman"/>
          <w:b/>
          <w:iCs/>
          <w:sz w:val="24"/>
          <w:szCs w:val="24"/>
        </w:rPr>
        <w:t xml:space="preserve"> 2018; 19: 27-39</w:t>
      </w:r>
    </w:p>
    <w:p w:rsidR="008C4DCA" w:rsidRPr="008C4DCA" w:rsidRDefault="008C4DCA" w:rsidP="008C4DCA">
      <w:pPr>
        <w:spacing w:before="116" w:after="116" w:line="240" w:lineRule="auto"/>
        <w:contextualSpacing/>
        <w:jc w:val="both"/>
        <w:rPr>
          <w:i/>
          <w:iCs/>
          <w:sz w:val="24"/>
          <w:szCs w:val="24"/>
        </w:rPr>
      </w:pPr>
    </w:p>
    <w:p w:rsidR="008C4DCA" w:rsidRDefault="008C4DCA" w:rsidP="008C4DCA">
      <w:pPr>
        <w:spacing w:before="116" w:after="116" w:line="240" w:lineRule="auto"/>
        <w:contextualSpacing/>
        <w:jc w:val="both"/>
        <w:rPr>
          <w:rFonts w:cs="Times New Roman"/>
          <w:b/>
          <w:bCs/>
        </w:rPr>
      </w:pPr>
      <w:r>
        <w:rPr>
          <w:rFonts w:cs="Times New Roman"/>
          <w:b/>
          <w:bCs/>
        </w:rPr>
        <w:t xml:space="preserve">Background e scopo </w:t>
      </w:r>
    </w:p>
    <w:p w:rsidR="008C4DCA" w:rsidRDefault="008C4DCA" w:rsidP="008C4DCA">
      <w:pPr>
        <w:spacing w:before="116" w:after="116" w:line="240" w:lineRule="auto"/>
        <w:contextualSpacing/>
        <w:jc w:val="both"/>
        <w:rPr>
          <w:rFonts w:cs="Times New Roman"/>
        </w:rPr>
      </w:pPr>
      <w:r>
        <w:rPr>
          <w:rFonts w:cs="Times New Roman"/>
        </w:rPr>
        <w:t xml:space="preserve">La chemioterapia </w:t>
      </w:r>
      <w:proofErr w:type="spellStart"/>
      <w:r>
        <w:rPr>
          <w:rFonts w:cs="Times New Roman"/>
        </w:rPr>
        <w:t>neoadiuvante</w:t>
      </w:r>
      <w:proofErr w:type="spellEnd"/>
      <w:r>
        <w:rPr>
          <w:rFonts w:cs="Times New Roman"/>
        </w:rPr>
        <w:t xml:space="preserve"> (NACT), introdotta nel 1970 nella cura del tumore mammario localmente avanzato con la </w:t>
      </w:r>
      <w:proofErr w:type="spellStart"/>
      <w:r>
        <w:rPr>
          <w:rFonts w:cs="Times New Roman"/>
        </w:rPr>
        <w:t>finalitá</w:t>
      </w:r>
      <w:proofErr w:type="spellEnd"/>
      <w:r>
        <w:rPr>
          <w:rFonts w:cs="Times New Roman"/>
        </w:rPr>
        <w:t xml:space="preserve"> di rendere operabili tumori inizialmente inoperabili, é stata successivamente utilizzata per il carcinoma mammario (</w:t>
      </w:r>
      <w:proofErr w:type="spellStart"/>
      <w:r>
        <w:rPr>
          <w:rFonts w:cs="Times New Roman"/>
        </w:rPr>
        <w:t>early</w:t>
      </w:r>
      <w:proofErr w:type="spellEnd"/>
      <w:r>
        <w:rPr>
          <w:rFonts w:cs="Times New Roman"/>
        </w:rPr>
        <w:t xml:space="preserve">) operabile per rendere la chirurgia conservativa della mammella più fattibile. Inoltre si é valutato il probabile impatto eradicante sulla malattia </w:t>
      </w:r>
      <w:proofErr w:type="spellStart"/>
      <w:r>
        <w:rPr>
          <w:rFonts w:cs="Times New Roman"/>
        </w:rPr>
        <w:t>micrometastatica</w:t>
      </w:r>
      <w:proofErr w:type="spellEnd"/>
      <w:r>
        <w:rPr>
          <w:rFonts w:cs="Times New Roman"/>
        </w:rPr>
        <w:t xml:space="preserve"> rispetto alla stessa chemioterapia somministrata dopo chirurgia. Con questi presupposti, scopo di questo lavoro é stato quello di indagare a </w:t>
      </w:r>
      <w:proofErr w:type="spellStart"/>
      <w:r>
        <w:rPr>
          <w:rFonts w:cs="Times New Roman"/>
        </w:rPr>
        <w:t>lugo</w:t>
      </w:r>
      <w:proofErr w:type="spellEnd"/>
      <w:r>
        <w:rPr>
          <w:rFonts w:cs="Times New Roman"/>
        </w:rPr>
        <w:t xml:space="preserve"> termine i benefici e i rischi della NACT e l'influenza delle caratteristiche del tumore sulla ricorrenza locale, ricorrenza a distanza e </w:t>
      </w:r>
      <w:proofErr w:type="spellStart"/>
      <w:r>
        <w:rPr>
          <w:rFonts w:cs="Times New Roman"/>
        </w:rPr>
        <w:t>mortalitá</w:t>
      </w:r>
      <w:proofErr w:type="spellEnd"/>
      <w:r>
        <w:rPr>
          <w:rFonts w:cs="Times New Roman"/>
        </w:rPr>
        <w:t>, cancro-relata e generale, attraverso una meta-analisi collaborativa dei dati delle singole pazienti provenienti da studi randomizzati rilevanti.</w:t>
      </w:r>
    </w:p>
    <w:p w:rsidR="008C4DCA" w:rsidRDefault="008C4DCA" w:rsidP="008C4DCA">
      <w:pPr>
        <w:spacing w:before="116" w:after="116" w:line="240" w:lineRule="auto"/>
        <w:contextualSpacing/>
        <w:jc w:val="both"/>
        <w:rPr>
          <w:rFonts w:cs="Times New Roman"/>
          <w:b/>
          <w:bCs/>
        </w:rPr>
      </w:pPr>
    </w:p>
    <w:p w:rsidR="008C4DCA" w:rsidRDefault="008C4DCA" w:rsidP="008C4DCA">
      <w:pPr>
        <w:spacing w:before="116" w:after="116" w:line="240" w:lineRule="auto"/>
        <w:contextualSpacing/>
        <w:jc w:val="both"/>
        <w:rPr>
          <w:rFonts w:cs="Times New Roman"/>
          <w:b/>
          <w:bCs/>
        </w:rPr>
      </w:pPr>
      <w:r>
        <w:rPr>
          <w:rFonts w:cs="Times New Roman"/>
          <w:b/>
          <w:bCs/>
        </w:rPr>
        <w:t>Materiali e metodi:</w:t>
      </w:r>
      <w:r>
        <w:rPr>
          <w:rFonts w:cs="Times New Roman"/>
        </w:rPr>
        <w:t xml:space="preserve"> sono state raccolte informazioni sulle caratteristiche delle pazienti e del tumore </w:t>
      </w:r>
      <w:proofErr w:type="spellStart"/>
      <w:r>
        <w:rPr>
          <w:rFonts w:cs="Times New Roman"/>
        </w:rPr>
        <w:t>prerandomizzazione</w:t>
      </w:r>
      <w:proofErr w:type="spellEnd"/>
      <w:r>
        <w:rPr>
          <w:rFonts w:cs="Times New Roman"/>
        </w:rPr>
        <w:t>, sul tipo di NACT ricevuta, sulla risposta clinica della neoplasia, sul tipo di chirurgia, recidiva e mortalità per 4756 donne in dieci studi randomizzati in carcinoma mammario precoce iniziati prima del 2005 e confrontati con lo stesso tipo di chemioterapia adiuvante somministrata dopo l'intervento. I risultati primari erano la risposta del tumore, estensione della terapia locale (tipo di chirurgia eseguita), recidiva locale e distante, morte per cancro al seno e mortalità generale. Un'analisi dettagliata della metodologia statistica utilizzata fu pubblicata in un precedente lavoro (</w:t>
      </w:r>
      <w:proofErr w:type="spellStart"/>
      <w:r>
        <w:rPr>
          <w:rFonts w:cs="Times New Roman"/>
          <w:i/>
          <w:iCs/>
        </w:rPr>
        <w:t>Early</w:t>
      </w:r>
      <w:proofErr w:type="spellEnd"/>
      <w:r>
        <w:rPr>
          <w:rFonts w:cs="Times New Roman"/>
          <w:i/>
          <w:iCs/>
        </w:rPr>
        <w:t xml:space="preserve"> </w:t>
      </w:r>
      <w:proofErr w:type="spellStart"/>
      <w:r>
        <w:rPr>
          <w:rFonts w:cs="Times New Roman"/>
          <w:i/>
          <w:iCs/>
        </w:rPr>
        <w:t>Breast</w:t>
      </w:r>
      <w:proofErr w:type="spellEnd"/>
      <w:r>
        <w:rPr>
          <w:rFonts w:cs="Times New Roman"/>
          <w:i/>
          <w:iCs/>
        </w:rPr>
        <w:t xml:space="preserve"> </w:t>
      </w:r>
      <w:proofErr w:type="spellStart"/>
      <w:r>
        <w:rPr>
          <w:rFonts w:cs="Times New Roman"/>
          <w:i/>
          <w:iCs/>
        </w:rPr>
        <w:t>Cancer</w:t>
      </w:r>
      <w:proofErr w:type="spellEnd"/>
      <w:r>
        <w:rPr>
          <w:rFonts w:cs="Times New Roman"/>
          <w:i/>
          <w:iCs/>
        </w:rPr>
        <w:t xml:space="preserve"> </w:t>
      </w:r>
      <w:proofErr w:type="spellStart"/>
      <w:r>
        <w:rPr>
          <w:rFonts w:cs="Times New Roman"/>
          <w:i/>
          <w:iCs/>
        </w:rPr>
        <w:t>Trialists</w:t>
      </w:r>
      <w:proofErr w:type="spellEnd"/>
      <w:r>
        <w:rPr>
          <w:rFonts w:cs="Times New Roman"/>
          <w:i/>
          <w:iCs/>
        </w:rPr>
        <w:t xml:space="preserve">’ Collaborative Group. Treatment of </w:t>
      </w:r>
      <w:proofErr w:type="spellStart"/>
      <w:r>
        <w:rPr>
          <w:rFonts w:cs="Times New Roman"/>
          <w:i/>
          <w:iCs/>
        </w:rPr>
        <w:t>early</w:t>
      </w:r>
      <w:proofErr w:type="spellEnd"/>
      <w:r>
        <w:rPr>
          <w:rFonts w:cs="Times New Roman"/>
          <w:i/>
          <w:iCs/>
        </w:rPr>
        <w:t xml:space="preserve"> </w:t>
      </w:r>
      <w:proofErr w:type="spellStart"/>
      <w:r>
        <w:rPr>
          <w:rFonts w:cs="Times New Roman"/>
          <w:i/>
          <w:iCs/>
        </w:rPr>
        <w:t>breast</w:t>
      </w:r>
      <w:proofErr w:type="spellEnd"/>
      <w:r>
        <w:rPr>
          <w:rFonts w:cs="Times New Roman"/>
          <w:i/>
          <w:iCs/>
        </w:rPr>
        <w:t xml:space="preserve"> </w:t>
      </w:r>
      <w:proofErr w:type="spellStart"/>
      <w:r>
        <w:rPr>
          <w:rFonts w:cs="Times New Roman"/>
          <w:i/>
          <w:iCs/>
        </w:rPr>
        <w:t>cancer</w:t>
      </w:r>
      <w:proofErr w:type="spellEnd"/>
      <w:r>
        <w:rPr>
          <w:rFonts w:cs="Times New Roman"/>
          <w:i/>
          <w:iCs/>
        </w:rPr>
        <w:t xml:space="preserve">. Volume 1, </w:t>
      </w:r>
      <w:proofErr w:type="spellStart"/>
      <w:r>
        <w:rPr>
          <w:rFonts w:cs="Times New Roman"/>
          <w:i/>
          <w:iCs/>
        </w:rPr>
        <w:t>worldwide</w:t>
      </w:r>
      <w:proofErr w:type="spellEnd"/>
      <w:r>
        <w:rPr>
          <w:rFonts w:cs="Times New Roman"/>
          <w:i/>
          <w:iCs/>
        </w:rPr>
        <w:t xml:space="preserve"> </w:t>
      </w:r>
      <w:proofErr w:type="spellStart"/>
      <w:r>
        <w:rPr>
          <w:rFonts w:cs="Times New Roman"/>
          <w:i/>
          <w:iCs/>
        </w:rPr>
        <w:t>evidence</w:t>
      </w:r>
      <w:proofErr w:type="spellEnd"/>
      <w:r>
        <w:rPr>
          <w:rFonts w:cs="Times New Roman"/>
          <w:i/>
          <w:iCs/>
        </w:rPr>
        <w:t xml:space="preserve"> 1985–1990. Oxford: Oxford </w:t>
      </w:r>
      <w:proofErr w:type="spellStart"/>
      <w:r>
        <w:rPr>
          <w:rFonts w:cs="Times New Roman"/>
          <w:i/>
          <w:iCs/>
        </w:rPr>
        <w:t>University</w:t>
      </w:r>
      <w:proofErr w:type="spellEnd"/>
      <w:r>
        <w:rPr>
          <w:rFonts w:cs="Times New Roman"/>
          <w:i/>
          <w:iCs/>
        </w:rPr>
        <w:t xml:space="preserve"> Press, 1990).</w:t>
      </w:r>
    </w:p>
    <w:p w:rsidR="008C4DCA" w:rsidRDefault="008C4DCA" w:rsidP="008C4DCA">
      <w:pPr>
        <w:spacing w:before="116" w:after="116" w:line="240" w:lineRule="auto"/>
        <w:contextualSpacing/>
        <w:jc w:val="both"/>
        <w:rPr>
          <w:rFonts w:cs="Times New Roman"/>
        </w:rPr>
      </w:pPr>
      <w:r>
        <w:rPr>
          <w:rFonts w:cs="Times New Roman"/>
          <w:b/>
          <w:bCs/>
        </w:rPr>
        <w:t>Risultati</w:t>
      </w:r>
    </w:p>
    <w:p w:rsidR="008C4DCA" w:rsidRDefault="008C4DCA" w:rsidP="008C4DCA">
      <w:pPr>
        <w:spacing w:before="116" w:after="116" w:line="240" w:lineRule="auto"/>
        <w:contextualSpacing/>
        <w:jc w:val="both"/>
        <w:rPr>
          <w:rFonts w:cs="Times New Roman"/>
        </w:rPr>
      </w:pPr>
      <w:r>
        <w:rPr>
          <w:rFonts w:cs="Times New Roman"/>
        </w:rPr>
        <w:t xml:space="preserve">Delle 4756 donne eleggibili per questo studio trattate nel periodo compreso tra il 1983 e il 2002, 2387 avevano ricevuto NACT e 2369  lo stesso tipo di chemioterapia adiuvante. Il tempo mediano di follow-up era di 9 anni (IQR 5-14), con l'ultimo follow-up nel 2013. La maggior parte della chemioterapia era basata su </w:t>
      </w:r>
      <w:proofErr w:type="spellStart"/>
      <w:r>
        <w:rPr>
          <w:rFonts w:cs="Times New Roman"/>
        </w:rPr>
        <w:t>antracicline</w:t>
      </w:r>
      <w:proofErr w:type="spellEnd"/>
      <w:r>
        <w:rPr>
          <w:rFonts w:cs="Times New Roman"/>
        </w:rPr>
        <w:t xml:space="preserve"> (3838 [81%] di 4756 donne) associate o meno a </w:t>
      </w:r>
      <w:proofErr w:type="spellStart"/>
      <w:r>
        <w:rPr>
          <w:rFonts w:cs="Times New Roman"/>
        </w:rPr>
        <w:t>taxani</w:t>
      </w:r>
      <w:proofErr w:type="spellEnd"/>
      <w:r>
        <w:rPr>
          <w:rFonts w:cs="Times New Roman"/>
        </w:rPr>
        <w:t>, mentre altri schemi di CT meno utilizzati sono stati MMM  (</w:t>
      </w:r>
      <w:proofErr w:type="spellStart"/>
      <w:r>
        <w:rPr>
          <w:rFonts w:cs="Times New Roman"/>
        </w:rPr>
        <w:t>mitoxantrone</w:t>
      </w:r>
      <w:proofErr w:type="spellEnd"/>
      <w:r>
        <w:rPr>
          <w:rFonts w:cs="Times New Roman"/>
        </w:rPr>
        <w:t xml:space="preserve">, </w:t>
      </w:r>
      <w:proofErr w:type="spellStart"/>
      <w:r>
        <w:rPr>
          <w:rFonts w:cs="Times New Roman"/>
        </w:rPr>
        <w:t>methotrexate</w:t>
      </w:r>
      <w:proofErr w:type="spellEnd"/>
      <w:r>
        <w:rPr>
          <w:rFonts w:cs="Times New Roman"/>
        </w:rPr>
        <w:t xml:space="preserve">, and </w:t>
      </w:r>
      <w:proofErr w:type="spellStart"/>
      <w:r>
        <w:rPr>
          <w:rFonts w:cs="Times New Roman"/>
        </w:rPr>
        <w:t>mitomycin</w:t>
      </w:r>
      <w:proofErr w:type="spellEnd"/>
      <w:r>
        <w:rPr>
          <w:rFonts w:cs="Times New Roman"/>
        </w:rPr>
        <w:t>-C) o CMF (</w:t>
      </w:r>
      <w:proofErr w:type="spellStart"/>
      <w:r>
        <w:rPr>
          <w:rFonts w:cs="Times New Roman"/>
        </w:rPr>
        <w:t>cyclophosphamide</w:t>
      </w:r>
      <w:proofErr w:type="spellEnd"/>
      <w:r>
        <w:rPr>
          <w:rFonts w:cs="Times New Roman"/>
        </w:rPr>
        <w:t xml:space="preserve">, </w:t>
      </w:r>
      <w:proofErr w:type="spellStart"/>
      <w:r>
        <w:rPr>
          <w:rFonts w:cs="Times New Roman"/>
        </w:rPr>
        <w:t>methotrexate</w:t>
      </w:r>
      <w:proofErr w:type="spellEnd"/>
      <w:r>
        <w:rPr>
          <w:rFonts w:cs="Times New Roman"/>
        </w:rPr>
        <w:t xml:space="preserve">, and </w:t>
      </w:r>
      <w:proofErr w:type="spellStart"/>
      <w:r>
        <w:rPr>
          <w:rFonts w:cs="Times New Roman"/>
        </w:rPr>
        <w:t>fluorouracil</w:t>
      </w:r>
      <w:proofErr w:type="spellEnd"/>
      <w:r>
        <w:rPr>
          <w:rFonts w:cs="Times New Roman"/>
        </w:rPr>
        <w:t xml:space="preserve">), mentre nessuna paziente aveva ricevuto </w:t>
      </w:r>
      <w:proofErr w:type="spellStart"/>
      <w:r>
        <w:rPr>
          <w:rFonts w:cs="Times New Roman"/>
        </w:rPr>
        <w:t>Trastuzumab</w:t>
      </w:r>
      <w:proofErr w:type="spellEnd"/>
      <w:r>
        <w:rPr>
          <w:rFonts w:cs="Times New Roman"/>
        </w:rPr>
        <w:t xml:space="preserve">. Il 69% delle donne assegnate al NACT hanno avuto una risposta clinica completa o parziale, di queste 1504 (65%) hanno ricevuto una terapia conservativa del seno (vs il 49% di quelle trattate con chemioterapia adiuvante). Nel braccio NACT è stata osservata un più frequente tasso di recidiva locale di quanto lo fosse nel braccio della chemioterapia adiuvante: la recidiva locale di 15 anni è stata del 21,4% per NACT rispetto al 15,9% per la chemioterapia adiuvante (aumento del 5,5% [95% CI 2 ,4 – 8,6]; rate ratio 1,37 [95% CI 1,17 – 1,61]; p = 0,0001). Nessuna differenza statisticamente significativa tra la chemioterapia NACT ed adiuvante è stata osservata per la recidiva a distanza (rischio a 15 anni 38,2% per NACT vs 38,0% per chemioterapia adiuvante; rate ratio 1,02 [95% CI 0,92 – 1,14]; p = 0,66), per la mortalità cancro-relata (34,4% vs 33,7%; 1,06 [0,95 – 1,18]; p = 0,31), o per la </w:t>
      </w:r>
      <w:proofErr w:type="spellStart"/>
      <w:r>
        <w:rPr>
          <w:rFonts w:cs="Times New Roman"/>
        </w:rPr>
        <w:t>mortalitá</w:t>
      </w:r>
      <w:proofErr w:type="spellEnd"/>
      <w:r>
        <w:rPr>
          <w:rFonts w:cs="Times New Roman"/>
        </w:rPr>
        <w:t xml:space="preserve"> generale (40,9% vs 41,2%; 1,04 [0,94 - 1,15]; p = 0,45).</w:t>
      </w:r>
    </w:p>
    <w:p w:rsidR="008C4DCA" w:rsidRDefault="008C4DCA" w:rsidP="008C4DCA">
      <w:pPr>
        <w:spacing w:before="116" w:after="116" w:line="240" w:lineRule="auto"/>
        <w:contextualSpacing/>
        <w:jc w:val="both"/>
        <w:rPr>
          <w:rFonts w:cs="Times New Roman"/>
        </w:rPr>
      </w:pPr>
    </w:p>
    <w:p w:rsidR="008C4DCA" w:rsidRDefault="008C4DCA" w:rsidP="008C4DCA">
      <w:pPr>
        <w:spacing w:after="0" w:line="240" w:lineRule="auto"/>
        <w:contextualSpacing/>
        <w:jc w:val="both"/>
        <w:rPr>
          <w:rFonts w:cstheme="minorHAnsi"/>
          <w:b/>
        </w:rPr>
      </w:pPr>
      <w:r>
        <w:rPr>
          <w:rFonts w:cstheme="minorHAnsi"/>
          <w:b/>
        </w:rPr>
        <w:t>Interpretazione</w:t>
      </w:r>
    </w:p>
    <w:p w:rsidR="008C4DCA" w:rsidRDefault="008C4DCA" w:rsidP="008C4DCA">
      <w:pPr>
        <w:spacing w:after="0" w:line="240" w:lineRule="auto"/>
        <w:contextualSpacing/>
        <w:jc w:val="both"/>
        <w:rPr>
          <w:rFonts w:cs="Times New Roman"/>
        </w:rPr>
      </w:pPr>
      <w:r>
        <w:rPr>
          <w:rFonts w:cstheme="minorHAnsi"/>
        </w:rPr>
        <w:t>D</w:t>
      </w:r>
      <w:r w:rsidRPr="008C4DCA">
        <w:rPr>
          <w:rFonts w:cstheme="minorHAnsi"/>
        </w:rPr>
        <w:t>a questa meta-analisi emerge in modo molto chiare come le neoplasie della mammella trattate con NACT e chirurgia conservativa hanno un rischio di recidiva locale più elevato rispetto a tumori delle stesse dimensioni trattati con chirurgia conservativa e CT adiuvante, anche se questo non ha un impatto sulla OS. Strategie per mitigare l'aumento delle recidive locali in queste pazienti devono essere prese in considerazione in studi futuri, ad esempio, attenta localizzazione del tumore, valutazione patologica dettagliata e radioterapia appropriata</w:t>
      </w:r>
      <w:r>
        <w:rPr>
          <w:rFonts w:cs="Times New Roman"/>
        </w:rPr>
        <w:t>.</w:t>
      </w:r>
    </w:p>
    <w:p w:rsidR="004E3B9D" w:rsidRDefault="004E3B9D" w:rsidP="008C4DCA">
      <w:pPr>
        <w:spacing w:after="0" w:line="240" w:lineRule="auto"/>
        <w:contextualSpacing/>
        <w:jc w:val="both"/>
        <w:rPr>
          <w:rFonts w:cs="Times New Roman"/>
        </w:rPr>
      </w:pPr>
    </w:p>
    <w:p w:rsidR="004E3B9D" w:rsidRDefault="004E3B9D" w:rsidP="008C4DCA">
      <w:pPr>
        <w:spacing w:after="0" w:line="240" w:lineRule="auto"/>
        <w:contextualSpacing/>
        <w:jc w:val="both"/>
        <w:rPr>
          <w:rFonts w:cs="Times New Roman"/>
        </w:rPr>
      </w:pPr>
    </w:p>
    <w:p w:rsidR="004E3B9D" w:rsidRDefault="004E3B9D" w:rsidP="008C4DCA">
      <w:pPr>
        <w:spacing w:after="0" w:line="240" w:lineRule="auto"/>
        <w:contextualSpacing/>
        <w:jc w:val="both"/>
        <w:rPr>
          <w:rFonts w:cs="Times New Roman"/>
        </w:rPr>
      </w:pPr>
    </w:p>
    <w:p w:rsidR="004E3B9D" w:rsidRDefault="004E3B9D" w:rsidP="008C4DCA">
      <w:pPr>
        <w:spacing w:after="0" w:line="240" w:lineRule="auto"/>
        <w:contextualSpacing/>
        <w:jc w:val="both"/>
      </w:pPr>
      <w:bookmarkStart w:id="0" w:name="_GoBack"/>
      <w:bookmarkEnd w:id="0"/>
    </w:p>
    <w:p w:rsidR="008C4DCA" w:rsidRDefault="008C4DCA" w:rsidP="008C4DCA">
      <w:pPr>
        <w:pStyle w:val="ListParagraph"/>
        <w:ind w:left="0"/>
        <w:contextualSpacing/>
        <w:jc w:val="both"/>
      </w:pPr>
    </w:p>
    <w:p w:rsidR="008C4DCA" w:rsidRPr="000318ED" w:rsidRDefault="000318ED" w:rsidP="008C4DCA">
      <w:pPr>
        <w:spacing w:line="240" w:lineRule="auto"/>
        <w:jc w:val="both"/>
        <w:rPr>
          <w:rFonts w:cstheme="minorHAnsi"/>
        </w:rPr>
      </w:pPr>
      <w:r>
        <w:rPr>
          <w:rFonts w:cstheme="minorHAnsi"/>
        </w:rPr>
        <w:t>_______________________________________________________________________________________</w:t>
      </w:r>
    </w:p>
    <w:p w:rsidR="00527574" w:rsidRPr="00527574" w:rsidRDefault="00527574" w:rsidP="00527574">
      <w:pPr>
        <w:autoSpaceDE w:val="0"/>
        <w:autoSpaceDN w:val="0"/>
        <w:adjustRightInd w:val="0"/>
        <w:spacing w:after="0" w:line="240" w:lineRule="auto"/>
        <w:contextualSpacing/>
        <w:jc w:val="both"/>
        <w:rPr>
          <w:rFonts w:cstheme="minorHAnsi"/>
          <w:b/>
          <w:bCs/>
          <w:sz w:val="24"/>
          <w:szCs w:val="24"/>
          <w:u w:val="single"/>
          <w:lang w:val="en-GB"/>
        </w:rPr>
      </w:pPr>
      <w:proofErr w:type="spellStart"/>
      <w:r w:rsidRPr="00527574">
        <w:rPr>
          <w:rFonts w:cstheme="minorHAnsi"/>
          <w:b/>
          <w:bCs/>
          <w:sz w:val="24"/>
          <w:szCs w:val="24"/>
          <w:u w:val="single"/>
          <w:lang w:val="en-GB"/>
        </w:rPr>
        <w:t>Pertuzumab</w:t>
      </w:r>
      <w:proofErr w:type="spellEnd"/>
      <w:r w:rsidRPr="00527574">
        <w:rPr>
          <w:rFonts w:cstheme="minorHAnsi"/>
          <w:b/>
          <w:bCs/>
          <w:sz w:val="24"/>
          <w:szCs w:val="24"/>
          <w:u w:val="single"/>
          <w:lang w:val="en-GB"/>
        </w:rPr>
        <w:t xml:space="preserve"> and </w:t>
      </w:r>
      <w:proofErr w:type="spellStart"/>
      <w:r w:rsidRPr="00527574">
        <w:rPr>
          <w:rFonts w:cstheme="minorHAnsi"/>
          <w:b/>
          <w:bCs/>
          <w:sz w:val="24"/>
          <w:szCs w:val="24"/>
          <w:u w:val="single"/>
          <w:lang w:val="en-GB"/>
        </w:rPr>
        <w:t>trastuzumab</w:t>
      </w:r>
      <w:proofErr w:type="spellEnd"/>
      <w:r w:rsidRPr="00527574">
        <w:rPr>
          <w:rFonts w:cstheme="minorHAnsi"/>
          <w:b/>
          <w:bCs/>
          <w:sz w:val="24"/>
          <w:szCs w:val="24"/>
          <w:u w:val="single"/>
          <w:lang w:val="en-GB"/>
        </w:rPr>
        <w:t xml:space="preserve"> with or without metronomic chemotherapy for older patients with HER2-positive metastatic breast cancer (EORTC 75111-10114): an open-label, randomised, phase 2 trial from the Elderly Task Force/Breast Cancer Group</w:t>
      </w:r>
    </w:p>
    <w:p w:rsidR="00527574" w:rsidRDefault="00527574" w:rsidP="00527574">
      <w:pPr>
        <w:autoSpaceDE w:val="0"/>
        <w:autoSpaceDN w:val="0"/>
        <w:adjustRightInd w:val="0"/>
        <w:spacing w:before="240" w:after="0" w:line="240" w:lineRule="auto"/>
        <w:contextualSpacing/>
        <w:jc w:val="both"/>
        <w:rPr>
          <w:rFonts w:cstheme="minorHAnsi"/>
          <w:i/>
          <w:iCs/>
          <w:sz w:val="24"/>
          <w:szCs w:val="24"/>
          <w:lang w:val="en-GB"/>
        </w:rPr>
      </w:pPr>
      <w:r w:rsidRPr="00527574">
        <w:rPr>
          <w:rFonts w:cstheme="minorHAnsi"/>
          <w:i/>
          <w:iCs/>
          <w:sz w:val="24"/>
          <w:szCs w:val="24"/>
          <w:lang w:val="en-GB"/>
        </w:rPr>
        <w:t xml:space="preserve">Hans </w:t>
      </w:r>
      <w:proofErr w:type="spellStart"/>
      <w:r w:rsidRPr="00527574">
        <w:rPr>
          <w:rFonts w:cstheme="minorHAnsi"/>
          <w:i/>
          <w:iCs/>
          <w:sz w:val="24"/>
          <w:szCs w:val="24"/>
          <w:lang w:val="en-GB"/>
        </w:rPr>
        <w:t>Wildiers</w:t>
      </w:r>
      <w:proofErr w:type="spellEnd"/>
      <w:r w:rsidRPr="00527574">
        <w:rPr>
          <w:rFonts w:cstheme="minorHAnsi"/>
          <w:i/>
          <w:iCs/>
          <w:sz w:val="24"/>
          <w:szCs w:val="24"/>
          <w:lang w:val="en-GB"/>
        </w:rPr>
        <w:t xml:space="preserve">, </w:t>
      </w:r>
      <w:proofErr w:type="spellStart"/>
      <w:r w:rsidRPr="00527574">
        <w:rPr>
          <w:rFonts w:cstheme="minorHAnsi"/>
          <w:i/>
          <w:iCs/>
          <w:sz w:val="24"/>
          <w:szCs w:val="24"/>
          <w:lang w:val="en-GB"/>
        </w:rPr>
        <w:t>Konstantinos</w:t>
      </w:r>
      <w:proofErr w:type="spellEnd"/>
      <w:r w:rsidRPr="00527574">
        <w:rPr>
          <w:rFonts w:cstheme="minorHAnsi"/>
          <w:i/>
          <w:iCs/>
          <w:sz w:val="24"/>
          <w:szCs w:val="24"/>
          <w:lang w:val="en-GB"/>
        </w:rPr>
        <w:t xml:space="preserve"> </w:t>
      </w:r>
      <w:proofErr w:type="spellStart"/>
      <w:r w:rsidRPr="00527574">
        <w:rPr>
          <w:rFonts w:cstheme="minorHAnsi"/>
          <w:i/>
          <w:iCs/>
          <w:sz w:val="24"/>
          <w:szCs w:val="24"/>
          <w:lang w:val="en-GB"/>
        </w:rPr>
        <w:t>Tryfonidis</w:t>
      </w:r>
      <w:proofErr w:type="spellEnd"/>
      <w:r w:rsidRPr="00527574">
        <w:rPr>
          <w:rFonts w:cstheme="minorHAnsi"/>
          <w:i/>
          <w:iCs/>
          <w:sz w:val="24"/>
          <w:szCs w:val="24"/>
          <w:lang w:val="en-GB"/>
        </w:rPr>
        <w:t xml:space="preserve">, </w:t>
      </w:r>
      <w:proofErr w:type="spellStart"/>
      <w:r w:rsidRPr="00527574">
        <w:rPr>
          <w:rFonts w:cstheme="minorHAnsi"/>
          <w:i/>
          <w:iCs/>
          <w:sz w:val="24"/>
          <w:szCs w:val="24"/>
          <w:lang w:val="en-GB"/>
        </w:rPr>
        <w:t>Lissandra</w:t>
      </w:r>
      <w:proofErr w:type="spellEnd"/>
      <w:r w:rsidRPr="00527574">
        <w:rPr>
          <w:rFonts w:cstheme="minorHAnsi"/>
          <w:i/>
          <w:iCs/>
          <w:sz w:val="24"/>
          <w:szCs w:val="24"/>
          <w:lang w:val="en-GB"/>
        </w:rPr>
        <w:t xml:space="preserve"> Dal </w:t>
      </w:r>
      <w:proofErr w:type="spellStart"/>
      <w:r w:rsidRPr="00527574">
        <w:rPr>
          <w:rFonts w:cstheme="minorHAnsi"/>
          <w:i/>
          <w:iCs/>
          <w:sz w:val="24"/>
          <w:szCs w:val="24"/>
          <w:lang w:val="en-GB"/>
        </w:rPr>
        <w:t>Lago</w:t>
      </w:r>
      <w:proofErr w:type="spellEnd"/>
      <w:r w:rsidRPr="00527574">
        <w:rPr>
          <w:rFonts w:cstheme="minorHAnsi"/>
          <w:i/>
          <w:iCs/>
          <w:sz w:val="24"/>
          <w:szCs w:val="24"/>
          <w:lang w:val="en-GB"/>
        </w:rPr>
        <w:t xml:space="preserve">, Peter </w:t>
      </w:r>
      <w:proofErr w:type="spellStart"/>
      <w:r w:rsidRPr="00527574">
        <w:rPr>
          <w:rFonts w:cstheme="minorHAnsi"/>
          <w:i/>
          <w:iCs/>
          <w:sz w:val="24"/>
          <w:szCs w:val="24"/>
          <w:lang w:val="en-GB"/>
        </w:rPr>
        <w:t>Vuylsteke</w:t>
      </w:r>
      <w:proofErr w:type="spellEnd"/>
      <w:r w:rsidRPr="00527574">
        <w:rPr>
          <w:rFonts w:cstheme="minorHAnsi"/>
          <w:i/>
          <w:iCs/>
          <w:sz w:val="24"/>
          <w:szCs w:val="24"/>
          <w:lang w:val="en-GB"/>
        </w:rPr>
        <w:t xml:space="preserve">, Giuseppe </w:t>
      </w:r>
      <w:proofErr w:type="spellStart"/>
      <w:r w:rsidRPr="00527574">
        <w:rPr>
          <w:rFonts w:cstheme="minorHAnsi"/>
          <w:i/>
          <w:iCs/>
          <w:sz w:val="24"/>
          <w:szCs w:val="24"/>
          <w:lang w:val="en-GB"/>
        </w:rPr>
        <w:t>Curigliano</w:t>
      </w:r>
      <w:proofErr w:type="spellEnd"/>
      <w:r w:rsidRPr="00527574">
        <w:rPr>
          <w:rFonts w:cstheme="minorHAnsi"/>
          <w:i/>
          <w:iCs/>
          <w:sz w:val="24"/>
          <w:szCs w:val="24"/>
          <w:lang w:val="en-GB"/>
        </w:rPr>
        <w:t xml:space="preserve">, Simon Waters, Barbara </w:t>
      </w:r>
      <w:proofErr w:type="spellStart"/>
      <w:r w:rsidRPr="00527574">
        <w:rPr>
          <w:rFonts w:cstheme="minorHAnsi"/>
          <w:i/>
          <w:iCs/>
          <w:sz w:val="24"/>
          <w:szCs w:val="24"/>
          <w:lang w:val="en-GB"/>
        </w:rPr>
        <w:t>Brouwers</w:t>
      </w:r>
      <w:proofErr w:type="spellEnd"/>
      <w:r w:rsidRPr="00527574">
        <w:rPr>
          <w:rFonts w:cstheme="minorHAnsi"/>
          <w:i/>
          <w:iCs/>
          <w:sz w:val="24"/>
          <w:szCs w:val="24"/>
          <w:lang w:val="en-GB"/>
        </w:rPr>
        <w:t xml:space="preserve">, </w:t>
      </w:r>
      <w:proofErr w:type="spellStart"/>
      <w:r w:rsidRPr="00527574">
        <w:rPr>
          <w:rFonts w:cstheme="minorHAnsi"/>
          <w:i/>
          <w:iCs/>
          <w:sz w:val="24"/>
          <w:szCs w:val="24"/>
          <w:lang w:val="en-GB"/>
        </w:rPr>
        <w:t>Sevilay</w:t>
      </w:r>
      <w:proofErr w:type="spellEnd"/>
      <w:r w:rsidRPr="00527574">
        <w:rPr>
          <w:rFonts w:cstheme="minorHAnsi"/>
          <w:i/>
          <w:iCs/>
          <w:sz w:val="24"/>
          <w:szCs w:val="24"/>
          <w:lang w:val="en-GB"/>
        </w:rPr>
        <w:t xml:space="preserve"> </w:t>
      </w:r>
      <w:proofErr w:type="spellStart"/>
      <w:r w:rsidRPr="00527574">
        <w:rPr>
          <w:rFonts w:cstheme="minorHAnsi"/>
          <w:i/>
          <w:iCs/>
          <w:sz w:val="24"/>
          <w:szCs w:val="24"/>
          <w:lang w:val="en-GB"/>
        </w:rPr>
        <w:t>Altintas</w:t>
      </w:r>
      <w:proofErr w:type="spellEnd"/>
      <w:r w:rsidRPr="00527574">
        <w:rPr>
          <w:rFonts w:cstheme="minorHAnsi"/>
          <w:i/>
          <w:iCs/>
          <w:sz w:val="24"/>
          <w:szCs w:val="24"/>
          <w:lang w:val="en-GB"/>
        </w:rPr>
        <w:t xml:space="preserve">, Nathan </w:t>
      </w:r>
      <w:proofErr w:type="spellStart"/>
      <w:r w:rsidRPr="00527574">
        <w:rPr>
          <w:rFonts w:cstheme="minorHAnsi"/>
          <w:i/>
          <w:iCs/>
          <w:sz w:val="24"/>
          <w:szCs w:val="24"/>
          <w:lang w:val="en-GB"/>
        </w:rPr>
        <w:t>Touati</w:t>
      </w:r>
      <w:proofErr w:type="spellEnd"/>
      <w:r w:rsidRPr="00527574">
        <w:rPr>
          <w:rFonts w:cstheme="minorHAnsi"/>
          <w:i/>
          <w:iCs/>
          <w:sz w:val="24"/>
          <w:szCs w:val="24"/>
          <w:lang w:val="en-GB"/>
        </w:rPr>
        <w:t>, Fatima Cardoso, Etienne Brain</w:t>
      </w:r>
    </w:p>
    <w:p w:rsidR="00527574" w:rsidRPr="00A47746" w:rsidRDefault="00A47746" w:rsidP="00527574">
      <w:pPr>
        <w:autoSpaceDE w:val="0"/>
        <w:autoSpaceDN w:val="0"/>
        <w:adjustRightInd w:val="0"/>
        <w:spacing w:before="240" w:after="0" w:line="240" w:lineRule="auto"/>
        <w:contextualSpacing/>
        <w:jc w:val="both"/>
        <w:rPr>
          <w:rFonts w:cstheme="minorHAnsi"/>
          <w:b/>
          <w:color w:val="333333"/>
          <w:sz w:val="24"/>
          <w:szCs w:val="24"/>
          <w:shd w:val="clear" w:color="auto" w:fill="FFFFFF"/>
        </w:rPr>
      </w:pPr>
      <w:r w:rsidRPr="00A47746">
        <w:rPr>
          <w:rFonts w:cstheme="minorHAnsi"/>
          <w:b/>
          <w:color w:val="333333"/>
          <w:sz w:val="24"/>
          <w:szCs w:val="24"/>
          <w:shd w:val="clear" w:color="auto" w:fill="FFFFFF"/>
        </w:rPr>
        <w:t xml:space="preserve">The Lancet </w:t>
      </w:r>
      <w:proofErr w:type="spellStart"/>
      <w:r w:rsidRPr="00A47746">
        <w:rPr>
          <w:rFonts w:cstheme="minorHAnsi"/>
          <w:b/>
          <w:color w:val="333333"/>
          <w:sz w:val="24"/>
          <w:szCs w:val="24"/>
          <w:shd w:val="clear" w:color="auto" w:fill="FFFFFF"/>
        </w:rPr>
        <w:t>Oncology</w:t>
      </w:r>
      <w:proofErr w:type="spellEnd"/>
      <w:r w:rsidRPr="00A47746">
        <w:rPr>
          <w:rFonts w:cstheme="minorHAnsi"/>
          <w:b/>
          <w:color w:val="333333"/>
          <w:sz w:val="24"/>
          <w:szCs w:val="24"/>
          <w:shd w:val="clear" w:color="auto" w:fill="FFFFFF"/>
        </w:rPr>
        <w:t xml:space="preserve"> , Volume 19 , </w:t>
      </w:r>
      <w:proofErr w:type="spellStart"/>
      <w:r w:rsidRPr="00A47746">
        <w:rPr>
          <w:rFonts w:cstheme="minorHAnsi"/>
          <w:b/>
          <w:color w:val="333333"/>
          <w:sz w:val="24"/>
          <w:szCs w:val="24"/>
          <w:shd w:val="clear" w:color="auto" w:fill="FFFFFF"/>
        </w:rPr>
        <w:t>Issue</w:t>
      </w:r>
      <w:proofErr w:type="spellEnd"/>
      <w:r w:rsidRPr="00A47746">
        <w:rPr>
          <w:rFonts w:cstheme="minorHAnsi"/>
          <w:b/>
          <w:color w:val="333333"/>
          <w:sz w:val="24"/>
          <w:szCs w:val="24"/>
          <w:shd w:val="clear" w:color="auto" w:fill="FFFFFF"/>
        </w:rPr>
        <w:t xml:space="preserve"> 3 , 323 </w:t>
      </w:r>
      <w:r w:rsidRPr="00A47746">
        <w:rPr>
          <w:rFonts w:cstheme="minorHAnsi"/>
          <w:b/>
          <w:color w:val="333333"/>
          <w:sz w:val="24"/>
          <w:szCs w:val="24"/>
          <w:shd w:val="clear" w:color="auto" w:fill="FFFFFF"/>
        </w:rPr>
        <w:t>–</w:t>
      </w:r>
      <w:r w:rsidRPr="00A47746">
        <w:rPr>
          <w:rFonts w:cstheme="minorHAnsi"/>
          <w:b/>
          <w:color w:val="333333"/>
          <w:sz w:val="24"/>
          <w:szCs w:val="24"/>
          <w:shd w:val="clear" w:color="auto" w:fill="FFFFFF"/>
        </w:rPr>
        <w:t xml:space="preserve"> 336</w:t>
      </w:r>
    </w:p>
    <w:p w:rsidR="00A47746" w:rsidRDefault="00A47746" w:rsidP="00527574">
      <w:pPr>
        <w:autoSpaceDE w:val="0"/>
        <w:autoSpaceDN w:val="0"/>
        <w:adjustRightInd w:val="0"/>
        <w:spacing w:before="240" w:after="0" w:line="240" w:lineRule="auto"/>
        <w:contextualSpacing/>
        <w:jc w:val="both"/>
        <w:rPr>
          <w:rFonts w:cstheme="minorHAnsi"/>
          <w:i/>
          <w:iCs/>
          <w:sz w:val="24"/>
          <w:szCs w:val="24"/>
          <w:lang w:val="en-GB"/>
        </w:rPr>
      </w:pPr>
    </w:p>
    <w:p w:rsidR="00527574" w:rsidRPr="003F53E4" w:rsidRDefault="00226D33" w:rsidP="00527574">
      <w:pPr>
        <w:autoSpaceDE w:val="0"/>
        <w:autoSpaceDN w:val="0"/>
        <w:adjustRightInd w:val="0"/>
        <w:spacing w:before="240" w:after="0" w:line="240" w:lineRule="auto"/>
        <w:contextualSpacing/>
        <w:jc w:val="both"/>
        <w:rPr>
          <w:rFonts w:cstheme="minorHAnsi"/>
          <w:iCs/>
        </w:rPr>
      </w:pPr>
      <w:proofErr w:type="spellStart"/>
      <w:r>
        <w:rPr>
          <w:rFonts w:cstheme="minorHAnsi"/>
          <w:b/>
          <w:iCs/>
          <w:lang w:val="en-GB"/>
        </w:rPr>
        <w:t>Obiettivo</w:t>
      </w:r>
      <w:proofErr w:type="spellEnd"/>
      <w:r>
        <w:rPr>
          <w:rFonts w:cstheme="minorHAnsi"/>
          <w:b/>
          <w:iCs/>
          <w:lang w:val="en-GB"/>
        </w:rPr>
        <w:t xml:space="preserve"> </w:t>
      </w:r>
      <w:proofErr w:type="spellStart"/>
      <w:r>
        <w:rPr>
          <w:rFonts w:cstheme="minorHAnsi"/>
          <w:b/>
          <w:iCs/>
          <w:lang w:val="en-GB"/>
        </w:rPr>
        <w:t>educazionale</w:t>
      </w:r>
      <w:proofErr w:type="spellEnd"/>
    </w:p>
    <w:p w:rsidR="00226D33" w:rsidRDefault="00527574" w:rsidP="00527574">
      <w:pPr>
        <w:autoSpaceDE w:val="0"/>
        <w:autoSpaceDN w:val="0"/>
        <w:adjustRightInd w:val="0"/>
        <w:spacing w:before="240" w:after="0" w:line="240" w:lineRule="auto"/>
        <w:contextualSpacing/>
        <w:jc w:val="both"/>
        <w:rPr>
          <w:rFonts w:cstheme="minorHAnsi"/>
          <w:iCs/>
        </w:rPr>
      </w:pPr>
      <w:r w:rsidRPr="003F53E4">
        <w:rPr>
          <w:rFonts w:cstheme="minorHAnsi"/>
          <w:iCs/>
        </w:rPr>
        <w:t xml:space="preserve">I dati </w:t>
      </w:r>
      <w:r w:rsidR="00226D33">
        <w:rPr>
          <w:rFonts w:cstheme="minorHAnsi"/>
          <w:iCs/>
        </w:rPr>
        <w:t xml:space="preserve">di letteratura </w:t>
      </w:r>
      <w:r w:rsidRPr="003F53E4">
        <w:rPr>
          <w:rFonts w:cstheme="minorHAnsi"/>
          <w:iCs/>
        </w:rPr>
        <w:t>mostrano che la ch</w:t>
      </w:r>
      <w:r w:rsidR="00226D33">
        <w:rPr>
          <w:rFonts w:cstheme="minorHAnsi"/>
          <w:iCs/>
        </w:rPr>
        <w:t xml:space="preserve">emioterapia standard con </w:t>
      </w:r>
      <w:proofErr w:type="spellStart"/>
      <w:r w:rsidR="00226D33">
        <w:rPr>
          <w:rFonts w:cstheme="minorHAnsi"/>
          <w:iCs/>
        </w:rPr>
        <w:t>taxani</w:t>
      </w:r>
      <w:proofErr w:type="spellEnd"/>
      <w:r w:rsidRPr="003F53E4">
        <w:rPr>
          <w:rFonts w:cstheme="minorHAnsi"/>
          <w:iCs/>
        </w:rPr>
        <w:t xml:space="preserve"> ha una ben nota tossicità clinica e nelle donne di età superiore a 70 anni o con fragilità, il miglioramento della soprav</w:t>
      </w:r>
      <w:r w:rsidR="00226D33">
        <w:rPr>
          <w:rFonts w:cstheme="minorHAnsi"/>
          <w:iCs/>
        </w:rPr>
        <w:t>vivenza libera da malattia</w:t>
      </w:r>
      <w:r w:rsidRPr="003F53E4">
        <w:rPr>
          <w:rFonts w:cstheme="minorHAnsi"/>
          <w:iCs/>
        </w:rPr>
        <w:t xml:space="preserve"> e </w:t>
      </w:r>
      <w:r w:rsidR="00226D33">
        <w:rPr>
          <w:rFonts w:cstheme="minorHAnsi"/>
          <w:iCs/>
        </w:rPr>
        <w:t>della sopravvivenza globale</w:t>
      </w:r>
      <w:r w:rsidRPr="003F53E4">
        <w:rPr>
          <w:rFonts w:cstheme="minorHAnsi"/>
          <w:iCs/>
        </w:rPr>
        <w:t xml:space="preserve"> non possono prescindere dal garantire una ridotta tossicità alla terapia</w:t>
      </w:r>
      <w:r w:rsidR="00245755">
        <w:rPr>
          <w:rFonts w:cstheme="minorHAnsi"/>
          <w:iCs/>
        </w:rPr>
        <w:t xml:space="preserve"> stessa</w:t>
      </w:r>
      <w:r w:rsidRPr="003F53E4">
        <w:rPr>
          <w:rFonts w:cstheme="minorHAnsi"/>
          <w:iCs/>
        </w:rPr>
        <w:t xml:space="preserve"> e conseguentemente una buona qualità di vita. </w:t>
      </w:r>
    </w:p>
    <w:p w:rsidR="00245755" w:rsidRPr="003F53E4" w:rsidRDefault="00245755" w:rsidP="00245755">
      <w:pPr>
        <w:autoSpaceDE w:val="0"/>
        <w:autoSpaceDN w:val="0"/>
        <w:adjustRightInd w:val="0"/>
        <w:spacing w:before="240" w:after="0" w:line="240" w:lineRule="auto"/>
        <w:contextualSpacing/>
        <w:jc w:val="both"/>
        <w:rPr>
          <w:rFonts w:cstheme="minorHAnsi"/>
          <w:iCs/>
        </w:rPr>
      </w:pPr>
      <w:r w:rsidRPr="003F53E4">
        <w:rPr>
          <w:rFonts w:cstheme="minorHAnsi"/>
          <w:iCs/>
        </w:rPr>
        <w:t>Lo studio multicentrico randomizzato di fase II</w:t>
      </w:r>
      <w:r>
        <w:rPr>
          <w:rFonts w:cstheme="minorHAnsi"/>
          <w:iCs/>
        </w:rPr>
        <w:t xml:space="preserve"> ha avuto lo scopo di valutare</w:t>
      </w:r>
      <w:r w:rsidRPr="003F53E4">
        <w:rPr>
          <w:rFonts w:cstheme="minorHAnsi"/>
          <w:iCs/>
        </w:rPr>
        <w:t xml:space="preserve"> l’efficacia del duplice trattamento anti-Her2 associato o meno alla chemioterapia metronomica con </w:t>
      </w:r>
      <w:proofErr w:type="spellStart"/>
      <w:r w:rsidRPr="003F53E4">
        <w:rPr>
          <w:rFonts w:cstheme="minorHAnsi"/>
          <w:iCs/>
        </w:rPr>
        <w:t>ciclofosfamide</w:t>
      </w:r>
      <w:proofErr w:type="spellEnd"/>
      <w:r w:rsidRPr="003F53E4">
        <w:rPr>
          <w:rFonts w:cstheme="minorHAnsi"/>
          <w:iCs/>
        </w:rPr>
        <w:t xml:space="preserve"> nelle pazienti anziane con carcinoma mamm</w:t>
      </w:r>
      <w:r>
        <w:rPr>
          <w:rFonts w:cstheme="minorHAnsi"/>
          <w:iCs/>
        </w:rPr>
        <w:t xml:space="preserve">ario metastatico HER2 positivo allo scopo di valutarne i risultati </w:t>
      </w:r>
      <w:r w:rsidR="00DA56B8">
        <w:rPr>
          <w:rFonts w:cstheme="minorHAnsi"/>
          <w:iCs/>
        </w:rPr>
        <w:t xml:space="preserve">non solo di efficacia clinica, ma </w:t>
      </w:r>
      <w:r>
        <w:rPr>
          <w:rFonts w:cstheme="minorHAnsi"/>
          <w:iCs/>
        </w:rPr>
        <w:t>anche in termini di declino funzionale e cognitivo</w:t>
      </w:r>
    </w:p>
    <w:p w:rsidR="00245755" w:rsidRDefault="00245755" w:rsidP="00527574">
      <w:pPr>
        <w:autoSpaceDE w:val="0"/>
        <w:autoSpaceDN w:val="0"/>
        <w:adjustRightInd w:val="0"/>
        <w:spacing w:before="240" w:after="0" w:line="240" w:lineRule="auto"/>
        <w:contextualSpacing/>
        <w:jc w:val="both"/>
        <w:rPr>
          <w:rFonts w:cstheme="minorHAnsi"/>
          <w:iCs/>
        </w:rPr>
      </w:pPr>
    </w:p>
    <w:p w:rsidR="00226D33" w:rsidRDefault="00226D33" w:rsidP="00527574">
      <w:pPr>
        <w:autoSpaceDE w:val="0"/>
        <w:autoSpaceDN w:val="0"/>
        <w:adjustRightInd w:val="0"/>
        <w:spacing w:before="240" w:after="0" w:line="240" w:lineRule="auto"/>
        <w:contextualSpacing/>
        <w:jc w:val="both"/>
        <w:rPr>
          <w:rFonts w:cstheme="minorHAnsi"/>
          <w:iCs/>
        </w:rPr>
      </w:pPr>
    </w:p>
    <w:p w:rsidR="00226D33" w:rsidRPr="00226D33" w:rsidRDefault="00226D33" w:rsidP="00527574">
      <w:pPr>
        <w:autoSpaceDE w:val="0"/>
        <w:autoSpaceDN w:val="0"/>
        <w:adjustRightInd w:val="0"/>
        <w:spacing w:before="240" w:after="0" w:line="240" w:lineRule="auto"/>
        <w:contextualSpacing/>
        <w:jc w:val="both"/>
        <w:rPr>
          <w:rFonts w:cstheme="minorHAnsi"/>
          <w:b/>
          <w:iCs/>
        </w:rPr>
      </w:pPr>
      <w:r>
        <w:rPr>
          <w:rFonts w:cstheme="minorHAnsi"/>
          <w:b/>
          <w:iCs/>
        </w:rPr>
        <w:t>Principali risultati</w:t>
      </w:r>
    </w:p>
    <w:p w:rsidR="00226D33" w:rsidRDefault="00527574" w:rsidP="00226D33">
      <w:pPr>
        <w:autoSpaceDE w:val="0"/>
        <w:autoSpaceDN w:val="0"/>
        <w:adjustRightInd w:val="0"/>
        <w:spacing w:before="240" w:after="0" w:line="240" w:lineRule="auto"/>
        <w:contextualSpacing/>
        <w:jc w:val="both"/>
        <w:rPr>
          <w:rFonts w:cstheme="minorHAnsi"/>
          <w:iCs/>
        </w:rPr>
      </w:pPr>
      <w:r w:rsidRPr="003F53E4">
        <w:rPr>
          <w:rFonts w:cstheme="minorHAnsi"/>
          <w:iCs/>
        </w:rPr>
        <w:t xml:space="preserve">Sono state reclutate 80 pazienti affette da carcinoma mammario HER2 positive con malattia metastatica e aspettativa di vita superiore a 12 settimane, di età superiore a 70 anni o superiore a 65 anni ma con limitazioni nello svolgimento delle attività quotidiane. Sono state escluse pazienti con frazione di eiezione ventricolare sinistra inferiore a 50%, o un’anamnesi cardiologica positiva per infarto miocardico, aritmia di grado severo, ipertensione arteriosa non controllata dalla terapia medica. Le pazienti reclutate state randomizzate 1:1 a ricevere trattamento con </w:t>
      </w:r>
      <w:proofErr w:type="spellStart"/>
      <w:r w:rsidRPr="003F53E4">
        <w:rPr>
          <w:rFonts w:cstheme="minorHAnsi"/>
          <w:iCs/>
        </w:rPr>
        <w:t>Trastuzumab</w:t>
      </w:r>
      <w:proofErr w:type="spellEnd"/>
      <w:r w:rsidRPr="003F53E4">
        <w:rPr>
          <w:rFonts w:cstheme="minorHAnsi"/>
          <w:iCs/>
        </w:rPr>
        <w:t xml:space="preserve"> (dose di carico 8mg/kg e a </w:t>
      </w:r>
      <w:r w:rsidR="00BF3532">
        <w:rPr>
          <w:rFonts w:cstheme="minorHAnsi"/>
          <w:iCs/>
        </w:rPr>
        <w:t xml:space="preserve">seguire 6mg/kg q21) e </w:t>
      </w:r>
      <w:proofErr w:type="spellStart"/>
      <w:r w:rsidR="00BF3532">
        <w:rPr>
          <w:rFonts w:cstheme="minorHAnsi"/>
          <w:iCs/>
        </w:rPr>
        <w:t>Pertuzumab</w:t>
      </w:r>
      <w:proofErr w:type="spellEnd"/>
      <w:r w:rsidRPr="003F53E4">
        <w:rPr>
          <w:rFonts w:cstheme="minorHAnsi"/>
          <w:iCs/>
        </w:rPr>
        <w:t xml:space="preserve"> (dose di carico 840mg e a seguire 420mg q 21) oppure le stesse dosi di </w:t>
      </w:r>
      <w:proofErr w:type="spellStart"/>
      <w:r w:rsidRPr="003F53E4">
        <w:rPr>
          <w:rFonts w:cstheme="minorHAnsi"/>
          <w:iCs/>
        </w:rPr>
        <w:t>Trastuzumab</w:t>
      </w:r>
      <w:proofErr w:type="spellEnd"/>
      <w:r w:rsidRPr="003F53E4">
        <w:rPr>
          <w:rFonts w:cstheme="minorHAnsi"/>
          <w:iCs/>
        </w:rPr>
        <w:t xml:space="preserve"> e </w:t>
      </w:r>
      <w:proofErr w:type="spellStart"/>
      <w:r w:rsidR="00BF3532">
        <w:rPr>
          <w:rFonts w:cstheme="minorHAnsi"/>
          <w:iCs/>
        </w:rPr>
        <w:t>Pertuzu</w:t>
      </w:r>
      <w:r w:rsidRPr="003F53E4">
        <w:rPr>
          <w:rFonts w:cstheme="minorHAnsi"/>
          <w:iCs/>
        </w:rPr>
        <w:t>mab</w:t>
      </w:r>
      <w:proofErr w:type="spellEnd"/>
      <w:r w:rsidRPr="003F53E4">
        <w:rPr>
          <w:rFonts w:cstheme="minorHAnsi"/>
          <w:iCs/>
        </w:rPr>
        <w:t xml:space="preserve"> associate a chemioterapia metronomica orale con </w:t>
      </w:r>
      <w:proofErr w:type="spellStart"/>
      <w:r w:rsidRPr="003F53E4">
        <w:rPr>
          <w:rFonts w:cstheme="minorHAnsi"/>
          <w:iCs/>
        </w:rPr>
        <w:t>Ciclofosfamide</w:t>
      </w:r>
      <w:proofErr w:type="spellEnd"/>
      <w:r w:rsidRPr="003F53E4">
        <w:rPr>
          <w:rFonts w:cstheme="minorHAnsi"/>
          <w:iCs/>
        </w:rPr>
        <w:t xml:space="preserve"> (50mg/die). Il trattamento veniva proseguito fino a comparsa di tossicità o a progressione di malattia. </w:t>
      </w:r>
    </w:p>
    <w:p w:rsidR="00BF3532" w:rsidRDefault="00BF3532" w:rsidP="00226D33">
      <w:pPr>
        <w:autoSpaceDE w:val="0"/>
        <w:autoSpaceDN w:val="0"/>
        <w:adjustRightInd w:val="0"/>
        <w:spacing w:before="240" w:after="0" w:line="240" w:lineRule="auto"/>
        <w:contextualSpacing/>
        <w:jc w:val="both"/>
        <w:rPr>
          <w:rFonts w:cstheme="minorHAnsi"/>
          <w:iCs/>
        </w:rPr>
      </w:pPr>
      <w:r>
        <w:rPr>
          <w:rFonts w:cstheme="minorHAnsi"/>
          <w:iCs/>
        </w:rPr>
        <w:t>Le pazienti sono state stratificate sulla base della</w:t>
      </w:r>
      <w:r w:rsidRPr="00226D33">
        <w:rPr>
          <w:rFonts w:cstheme="minorHAnsi"/>
          <w:iCs/>
        </w:rPr>
        <w:t xml:space="preserve"> posit</w:t>
      </w:r>
      <w:r>
        <w:rPr>
          <w:rFonts w:cstheme="minorHAnsi"/>
          <w:iCs/>
        </w:rPr>
        <w:t>ività del recettore ormonale, de</w:t>
      </w:r>
      <w:r w:rsidRPr="00226D33">
        <w:rPr>
          <w:rFonts w:cstheme="minorHAnsi"/>
          <w:iCs/>
        </w:rPr>
        <w:t>l prec</w:t>
      </w:r>
      <w:r>
        <w:rPr>
          <w:rFonts w:cstheme="minorHAnsi"/>
          <w:iCs/>
        </w:rPr>
        <w:t>edente trattamento con HER2 e dello screening geriatrico</w:t>
      </w:r>
      <w:r w:rsidRPr="00226D33">
        <w:rPr>
          <w:rFonts w:cstheme="minorHAnsi"/>
          <w:iCs/>
        </w:rPr>
        <w:t xml:space="preserve"> basale.</w:t>
      </w:r>
    </w:p>
    <w:p w:rsidR="00226D33" w:rsidRDefault="00226D33" w:rsidP="00527574">
      <w:pPr>
        <w:autoSpaceDE w:val="0"/>
        <w:autoSpaceDN w:val="0"/>
        <w:adjustRightInd w:val="0"/>
        <w:spacing w:before="240" w:after="0" w:line="240" w:lineRule="auto"/>
        <w:contextualSpacing/>
        <w:jc w:val="both"/>
        <w:rPr>
          <w:rFonts w:cstheme="minorHAnsi"/>
          <w:iCs/>
        </w:rPr>
      </w:pPr>
      <w:r w:rsidRPr="003F53E4">
        <w:rPr>
          <w:rFonts w:cstheme="minorHAnsi"/>
          <w:iCs/>
        </w:rPr>
        <w:t xml:space="preserve">Il declino funzionale è stato definito come un peggioramento di almeno un punto nelle scale geriatriche di valutazione utilizzate (G8, IADL, ADL) ad un anno dal termine del trattamento.  </w:t>
      </w:r>
    </w:p>
    <w:p w:rsidR="00245755" w:rsidRPr="003F53E4" w:rsidRDefault="00245755" w:rsidP="00527574">
      <w:pPr>
        <w:autoSpaceDE w:val="0"/>
        <w:autoSpaceDN w:val="0"/>
        <w:adjustRightInd w:val="0"/>
        <w:spacing w:before="240" w:after="0" w:line="240" w:lineRule="auto"/>
        <w:contextualSpacing/>
        <w:jc w:val="both"/>
        <w:rPr>
          <w:rFonts w:cstheme="minorHAnsi"/>
          <w:iCs/>
        </w:rPr>
      </w:pPr>
      <w:r w:rsidRPr="00226D33">
        <w:rPr>
          <w:rFonts w:cstheme="minorHAnsi"/>
          <w:iCs/>
        </w:rPr>
        <w:t>In caso di progressione, a tutti i pazienti è stat</w:t>
      </w:r>
      <w:r>
        <w:rPr>
          <w:rFonts w:cstheme="minorHAnsi"/>
          <w:iCs/>
        </w:rPr>
        <w:t xml:space="preserve">o offerto </w:t>
      </w:r>
      <w:proofErr w:type="spellStart"/>
      <w:r>
        <w:rPr>
          <w:rFonts w:cstheme="minorHAnsi"/>
          <w:iCs/>
        </w:rPr>
        <w:t>trastuzuma</w:t>
      </w:r>
      <w:r w:rsidR="00DA56B8">
        <w:rPr>
          <w:rFonts w:cstheme="minorHAnsi"/>
          <w:iCs/>
        </w:rPr>
        <w:t>-</w:t>
      </w:r>
      <w:r>
        <w:rPr>
          <w:rFonts w:cstheme="minorHAnsi"/>
          <w:iCs/>
        </w:rPr>
        <w:t>emtansine</w:t>
      </w:r>
      <w:proofErr w:type="spellEnd"/>
      <w:r>
        <w:rPr>
          <w:rFonts w:cstheme="minorHAnsi"/>
          <w:iCs/>
        </w:rPr>
        <w:t xml:space="preserve"> (T-DM1)</w:t>
      </w:r>
    </w:p>
    <w:p w:rsidR="00FC2185" w:rsidRDefault="00527574" w:rsidP="00527574">
      <w:pPr>
        <w:autoSpaceDE w:val="0"/>
        <w:autoSpaceDN w:val="0"/>
        <w:adjustRightInd w:val="0"/>
        <w:spacing w:before="240" w:after="0" w:line="240" w:lineRule="auto"/>
        <w:contextualSpacing/>
        <w:jc w:val="both"/>
        <w:rPr>
          <w:rFonts w:cstheme="minorHAnsi"/>
          <w:iCs/>
        </w:rPr>
      </w:pPr>
      <w:r w:rsidRPr="003F53E4">
        <w:rPr>
          <w:rFonts w:cstheme="minorHAnsi"/>
          <w:iCs/>
        </w:rPr>
        <w:t>I risultati hanno mostrato che la</w:t>
      </w:r>
      <w:r w:rsidR="00BF3532">
        <w:rPr>
          <w:rFonts w:cstheme="minorHAnsi"/>
          <w:iCs/>
        </w:rPr>
        <w:t xml:space="preserve"> PFS a 6 mesi era del 46.2% nelle </w:t>
      </w:r>
      <w:r w:rsidRPr="003F53E4">
        <w:rPr>
          <w:rFonts w:cstheme="minorHAnsi"/>
          <w:iCs/>
        </w:rPr>
        <w:t>pazi</w:t>
      </w:r>
      <w:r w:rsidR="00BF3532">
        <w:rPr>
          <w:rFonts w:cstheme="minorHAnsi"/>
          <w:iCs/>
        </w:rPr>
        <w:t>enti sottoposte</w:t>
      </w:r>
      <w:r w:rsidRPr="003F53E4">
        <w:rPr>
          <w:rFonts w:cstheme="minorHAnsi"/>
          <w:iCs/>
        </w:rPr>
        <w:t xml:space="preserve"> a </w:t>
      </w:r>
      <w:proofErr w:type="spellStart"/>
      <w:r w:rsidR="00BF3532">
        <w:rPr>
          <w:rFonts w:cstheme="minorHAnsi"/>
          <w:iCs/>
        </w:rPr>
        <w:t>pertuzumab</w:t>
      </w:r>
      <w:proofErr w:type="spellEnd"/>
      <w:r w:rsidRPr="003F53E4">
        <w:rPr>
          <w:rFonts w:cstheme="minorHAnsi"/>
          <w:iCs/>
        </w:rPr>
        <w:t xml:space="preserve"> + </w:t>
      </w:r>
      <w:proofErr w:type="spellStart"/>
      <w:r w:rsidRPr="003F53E4">
        <w:rPr>
          <w:rFonts w:cstheme="minorHAnsi"/>
          <w:iCs/>
        </w:rPr>
        <w:t>trastuzumab</w:t>
      </w:r>
      <w:proofErr w:type="spellEnd"/>
      <w:r w:rsidRPr="003F53E4">
        <w:rPr>
          <w:rFonts w:cstheme="minorHAnsi"/>
          <w:iCs/>
        </w:rPr>
        <w:t xml:space="preserve"> e del 73.4 % nel gruppo con associata terapia metronomica con una PFS mediana fino a </w:t>
      </w:r>
      <w:r w:rsidR="00BF3532">
        <w:rPr>
          <w:rFonts w:cstheme="minorHAnsi"/>
          <w:iCs/>
        </w:rPr>
        <w:t>12.</w:t>
      </w:r>
      <w:r w:rsidRPr="003F53E4">
        <w:rPr>
          <w:rFonts w:cstheme="minorHAnsi"/>
          <w:iCs/>
        </w:rPr>
        <w:t xml:space="preserve">7 mesi. </w:t>
      </w:r>
      <w:r w:rsidR="00FC2185" w:rsidRPr="00226D33">
        <w:rPr>
          <w:rFonts w:cstheme="minorHAnsi"/>
          <w:iCs/>
        </w:rPr>
        <w:t xml:space="preserve">). </w:t>
      </w:r>
      <w:r w:rsidR="00FC2185">
        <w:rPr>
          <w:rFonts w:cstheme="minorHAnsi"/>
          <w:iCs/>
        </w:rPr>
        <w:t>Ad un follow-up mediano di 20.7 mesi,</w:t>
      </w:r>
      <w:r w:rsidR="00245755">
        <w:rPr>
          <w:rFonts w:cstheme="minorHAnsi"/>
          <w:iCs/>
        </w:rPr>
        <w:t xml:space="preserve"> </w:t>
      </w:r>
      <w:r w:rsidR="00FC2185" w:rsidRPr="00226D33">
        <w:rPr>
          <w:rFonts w:cstheme="minorHAnsi"/>
          <w:iCs/>
        </w:rPr>
        <w:t>la sopravvivenza mediana libera</w:t>
      </w:r>
      <w:r w:rsidR="00FC2185">
        <w:rPr>
          <w:rFonts w:cstheme="minorHAnsi"/>
          <w:iCs/>
        </w:rPr>
        <w:t xml:space="preserve"> da progressione è stata di </w:t>
      </w:r>
      <w:r w:rsidR="00FC2185">
        <w:rPr>
          <w:rFonts w:cstheme="minorHAnsi"/>
          <w:iCs/>
        </w:rPr>
        <w:lastRenderedPageBreak/>
        <w:t>5.</w:t>
      </w:r>
      <w:r w:rsidR="00FC2185" w:rsidRPr="00226D33">
        <w:rPr>
          <w:rFonts w:cstheme="minorHAnsi"/>
          <w:iCs/>
        </w:rPr>
        <w:t xml:space="preserve">6 mesi con </w:t>
      </w:r>
      <w:proofErr w:type="spellStart"/>
      <w:r w:rsidR="00FC2185" w:rsidRPr="00226D33">
        <w:rPr>
          <w:rFonts w:cstheme="minorHAnsi"/>
          <w:iCs/>
        </w:rPr>
        <w:t>trastuzum</w:t>
      </w:r>
      <w:r w:rsidR="00FC2185">
        <w:rPr>
          <w:rFonts w:cstheme="minorHAnsi"/>
          <w:iCs/>
        </w:rPr>
        <w:t>ab</w:t>
      </w:r>
      <w:proofErr w:type="spellEnd"/>
      <w:r w:rsidR="00FC2185">
        <w:rPr>
          <w:rFonts w:cstheme="minorHAnsi"/>
          <w:iCs/>
        </w:rPr>
        <w:t xml:space="preserve"> e </w:t>
      </w:r>
      <w:proofErr w:type="spellStart"/>
      <w:r w:rsidR="00FC2185">
        <w:rPr>
          <w:rFonts w:cstheme="minorHAnsi"/>
          <w:iCs/>
        </w:rPr>
        <w:t>pertuzumab</w:t>
      </w:r>
      <w:proofErr w:type="spellEnd"/>
      <w:r w:rsidR="00FC2185">
        <w:rPr>
          <w:rFonts w:cstheme="minorHAnsi"/>
          <w:iCs/>
        </w:rPr>
        <w:t xml:space="preserve"> rispetto a 12.7 mesi</w:t>
      </w:r>
      <w:r w:rsidR="00FC2185" w:rsidRPr="00226D33">
        <w:rPr>
          <w:rFonts w:cstheme="minorHAnsi"/>
          <w:iCs/>
        </w:rPr>
        <w:t xml:space="preserve"> con l'aggiunta di </w:t>
      </w:r>
      <w:proofErr w:type="spellStart"/>
      <w:r w:rsidR="00FC2185">
        <w:rPr>
          <w:rFonts w:cstheme="minorHAnsi"/>
          <w:iCs/>
        </w:rPr>
        <w:t>ciclofosfamide</w:t>
      </w:r>
      <w:proofErr w:type="spellEnd"/>
      <w:r w:rsidR="00FC2185">
        <w:rPr>
          <w:rFonts w:cstheme="minorHAnsi"/>
          <w:iCs/>
        </w:rPr>
        <w:t xml:space="preserve"> orale metronomica</w:t>
      </w:r>
      <w:r w:rsidR="00FC2185" w:rsidRPr="00226D33">
        <w:rPr>
          <w:rFonts w:cstheme="minorHAnsi"/>
          <w:iCs/>
        </w:rPr>
        <w:t>.</w:t>
      </w:r>
    </w:p>
    <w:p w:rsidR="00FC2185" w:rsidRDefault="00527574" w:rsidP="00527574">
      <w:pPr>
        <w:autoSpaceDE w:val="0"/>
        <w:autoSpaceDN w:val="0"/>
        <w:adjustRightInd w:val="0"/>
        <w:spacing w:before="240" w:after="0" w:line="240" w:lineRule="auto"/>
        <w:contextualSpacing/>
        <w:jc w:val="both"/>
        <w:rPr>
          <w:rFonts w:cstheme="minorHAnsi"/>
          <w:iCs/>
        </w:rPr>
      </w:pPr>
      <w:r w:rsidRPr="003F53E4">
        <w:rPr>
          <w:rFonts w:cstheme="minorHAnsi"/>
          <w:iCs/>
        </w:rPr>
        <w:t xml:space="preserve">L’ OS a 1 anno era </w:t>
      </w:r>
      <w:r w:rsidR="00BF7782">
        <w:rPr>
          <w:rFonts w:cstheme="minorHAnsi"/>
          <w:iCs/>
        </w:rPr>
        <w:t xml:space="preserve">del </w:t>
      </w:r>
      <w:r w:rsidRPr="003F53E4">
        <w:rPr>
          <w:rFonts w:cstheme="minorHAnsi"/>
          <w:iCs/>
        </w:rPr>
        <w:t>67.3%</w:t>
      </w:r>
      <w:r w:rsidR="00BF7782">
        <w:rPr>
          <w:rFonts w:cstheme="minorHAnsi"/>
          <w:iCs/>
        </w:rPr>
        <w:t xml:space="preserve"> nel gruppo di sola terapia con farmaci biologici</w:t>
      </w:r>
      <w:r w:rsidRPr="003F53E4">
        <w:rPr>
          <w:rFonts w:cstheme="minorHAnsi"/>
          <w:iCs/>
        </w:rPr>
        <w:t xml:space="preserve"> vs 83.8% in chi riceveva anch</w:t>
      </w:r>
      <w:r w:rsidR="00245755">
        <w:rPr>
          <w:rFonts w:cstheme="minorHAnsi"/>
          <w:iCs/>
        </w:rPr>
        <w:t xml:space="preserve">e la terapia metronomica con </w:t>
      </w:r>
      <w:proofErr w:type="spellStart"/>
      <w:r w:rsidR="00245755">
        <w:rPr>
          <w:rFonts w:cstheme="minorHAnsi"/>
          <w:iCs/>
        </w:rPr>
        <w:t>c</w:t>
      </w:r>
      <w:r w:rsidRPr="003F53E4">
        <w:rPr>
          <w:rFonts w:cstheme="minorHAnsi"/>
          <w:iCs/>
        </w:rPr>
        <w:t>iclofosfamide</w:t>
      </w:r>
      <w:proofErr w:type="spellEnd"/>
      <w:r w:rsidRPr="003F53E4">
        <w:rPr>
          <w:rFonts w:cstheme="minorHAnsi"/>
          <w:iCs/>
        </w:rPr>
        <w:t xml:space="preserve">. </w:t>
      </w:r>
    </w:p>
    <w:p w:rsidR="00BF7782" w:rsidRDefault="00BF7782" w:rsidP="00527574">
      <w:pPr>
        <w:autoSpaceDE w:val="0"/>
        <w:autoSpaceDN w:val="0"/>
        <w:adjustRightInd w:val="0"/>
        <w:spacing w:before="240" w:after="0" w:line="240" w:lineRule="auto"/>
        <w:contextualSpacing/>
        <w:jc w:val="both"/>
        <w:rPr>
          <w:rFonts w:cstheme="minorHAnsi"/>
          <w:iCs/>
        </w:rPr>
      </w:pPr>
      <w:r w:rsidRPr="00226D33">
        <w:rPr>
          <w:rFonts w:cstheme="minorHAnsi"/>
          <w:iCs/>
        </w:rPr>
        <w:t>Gli eventi avversi di grado 3-4 più frequenti s</w:t>
      </w:r>
      <w:r>
        <w:rPr>
          <w:rFonts w:cstheme="minorHAnsi"/>
          <w:iCs/>
        </w:rPr>
        <w:t>ono stati ipertensione nel 15% vs 12%, diarrea 10% vs 12%, dispnea 5% vs 10%, affaticamento 8% vs 5%, dolore 5% vs 5 rispettivamente</w:t>
      </w:r>
      <w:r w:rsidRPr="00BF7782">
        <w:rPr>
          <w:rFonts w:cstheme="minorHAnsi"/>
          <w:iCs/>
        </w:rPr>
        <w:t xml:space="preserve"> </w:t>
      </w:r>
      <w:r w:rsidRPr="00226D33">
        <w:rPr>
          <w:rFonts w:cstheme="minorHAnsi"/>
          <w:iCs/>
        </w:rPr>
        <w:t xml:space="preserve">nel gruppo </w:t>
      </w:r>
      <w:proofErr w:type="spellStart"/>
      <w:r w:rsidRPr="00226D33">
        <w:rPr>
          <w:rFonts w:cstheme="minorHAnsi"/>
          <w:iCs/>
        </w:rPr>
        <w:t>trastuzumab</w:t>
      </w:r>
      <w:proofErr w:type="spellEnd"/>
      <w:r w:rsidRPr="00226D33">
        <w:rPr>
          <w:rFonts w:cstheme="minorHAnsi"/>
          <w:iCs/>
        </w:rPr>
        <w:t xml:space="preserve"> </w:t>
      </w:r>
      <w:r w:rsidR="000D1053">
        <w:rPr>
          <w:rFonts w:cstheme="minorHAnsi"/>
          <w:iCs/>
        </w:rPr>
        <w:t xml:space="preserve">e </w:t>
      </w:r>
      <w:proofErr w:type="spellStart"/>
      <w:r w:rsidR="000D1053">
        <w:rPr>
          <w:rFonts w:cstheme="minorHAnsi"/>
          <w:iCs/>
        </w:rPr>
        <w:t>pertuzumab</w:t>
      </w:r>
      <w:proofErr w:type="spellEnd"/>
      <w:r w:rsidR="000D1053">
        <w:rPr>
          <w:rFonts w:cstheme="minorHAnsi"/>
          <w:iCs/>
        </w:rPr>
        <w:t xml:space="preserve"> vs i</w:t>
      </w:r>
      <w:r>
        <w:rPr>
          <w:rFonts w:cstheme="minorHAnsi"/>
          <w:iCs/>
        </w:rPr>
        <w:t xml:space="preserve">l </w:t>
      </w:r>
      <w:r w:rsidRPr="00226D33">
        <w:rPr>
          <w:rFonts w:cstheme="minorHAnsi"/>
          <w:iCs/>
        </w:rPr>
        <w:t xml:space="preserve">gruppo </w:t>
      </w:r>
      <w:proofErr w:type="spellStart"/>
      <w:r w:rsidRPr="00226D33">
        <w:rPr>
          <w:rFonts w:cstheme="minorHAnsi"/>
          <w:iCs/>
        </w:rPr>
        <w:t>trastuzumab</w:t>
      </w:r>
      <w:proofErr w:type="spellEnd"/>
      <w:r w:rsidRPr="00226D33">
        <w:rPr>
          <w:rFonts w:cstheme="minorHAnsi"/>
          <w:iCs/>
        </w:rPr>
        <w:t xml:space="preserve"> e </w:t>
      </w:r>
      <w:proofErr w:type="spellStart"/>
      <w:r w:rsidRPr="00226D33">
        <w:rPr>
          <w:rFonts w:cstheme="minorHAnsi"/>
          <w:iCs/>
        </w:rPr>
        <w:t>pertuzumab</w:t>
      </w:r>
      <w:proofErr w:type="spellEnd"/>
      <w:r w:rsidRPr="00226D33">
        <w:rPr>
          <w:rFonts w:cstheme="minorHAnsi"/>
          <w:iCs/>
        </w:rPr>
        <w:t xml:space="preserve"> più </w:t>
      </w:r>
      <w:proofErr w:type="spellStart"/>
      <w:r>
        <w:rPr>
          <w:rFonts w:cstheme="minorHAnsi"/>
          <w:iCs/>
        </w:rPr>
        <w:t>ciclofosfamide</w:t>
      </w:r>
      <w:proofErr w:type="spellEnd"/>
      <w:r>
        <w:rPr>
          <w:rFonts w:cstheme="minorHAnsi"/>
          <w:iCs/>
        </w:rPr>
        <w:t xml:space="preserve"> </w:t>
      </w:r>
      <w:r w:rsidRPr="00226D33">
        <w:rPr>
          <w:rFonts w:cstheme="minorHAnsi"/>
          <w:iCs/>
        </w:rPr>
        <w:t>metronom</w:t>
      </w:r>
      <w:r>
        <w:rPr>
          <w:rFonts w:cstheme="minorHAnsi"/>
          <w:iCs/>
        </w:rPr>
        <w:t>ica orale</w:t>
      </w:r>
      <w:r w:rsidR="00245755">
        <w:rPr>
          <w:rFonts w:cstheme="minorHAnsi"/>
          <w:iCs/>
        </w:rPr>
        <w:t xml:space="preserve"> oltre a 4 eventi tromboembolici </w:t>
      </w:r>
      <w:r w:rsidR="00245755">
        <w:rPr>
          <w:rFonts w:cstheme="minorHAnsi"/>
          <w:iCs/>
        </w:rPr>
        <w:t>(10%)</w:t>
      </w:r>
      <w:r w:rsidR="00245755">
        <w:rPr>
          <w:rFonts w:cstheme="minorHAnsi"/>
          <w:iCs/>
        </w:rPr>
        <w:t xml:space="preserve"> in quest’ultimo gruppo</w:t>
      </w:r>
      <w:r w:rsidRPr="00226D33">
        <w:rPr>
          <w:rFonts w:cstheme="minorHAnsi"/>
          <w:iCs/>
        </w:rPr>
        <w:t xml:space="preserve">. Sono state osservate occasionalmente gravi tossicità cardiache in entrambi i gruppi. Nel gruppo </w:t>
      </w:r>
      <w:proofErr w:type="spellStart"/>
      <w:r w:rsidRPr="00226D33">
        <w:rPr>
          <w:rFonts w:cstheme="minorHAnsi"/>
          <w:iCs/>
        </w:rPr>
        <w:t>trastuzumab</w:t>
      </w:r>
      <w:proofErr w:type="spellEnd"/>
      <w:r w:rsidRPr="00226D33">
        <w:rPr>
          <w:rFonts w:cstheme="minorHAnsi"/>
          <w:iCs/>
        </w:rPr>
        <w:t xml:space="preserve"> e </w:t>
      </w:r>
      <w:proofErr w:type="spellStart"/>
      <w:r w:rsidRPr="00226D33">
        <w:rPr>
          <w:rFonts w:cstheme="minorHAnsi"/>
          <w:iCs/>
        </w:rPr>
        <w:t>pertuzumab</w:t>
      </w:r>
      <w:proofErr w:type="spellEnd"/>
      <w:r w:rsidRPr="00226D33">
        <w:rPr>
          <w:rFonts w:cstheme="minorHAnsi"/>
          <w:iCs/>
        </w:rPr>
        <w:t xml:space="preserve"> quattro pazienti sono deceduti senza progressione,</w:t>
      </w:r>
      <w:r w:rsidR="000D1053">
        <w:rPr>
          <w:rFonts w:cstheme="minorHAnsi"/>
          <w:iCs/>
        </w:rPr>
        <w:t xml:space="preserve"> uno</w:t>
      </w:r>
      <w:r w:rsidRPr="00226D33">
        <w:rPr>
          <w:rFonts w:cstheme="minorHAnsi"/>
          <w:iCs/>
        </w:rPr>
        <w:t xml:space="preserve"> a causa di arresto cardiac</w:t>
      </w:r>
      <w:r w:rsidR="000D1053">
        <w:rPr>
          <w:rFonts w:cstheme="minorHAnsi"/>
          <w:iCs/>
        </w:rPr>
        <w:t>o durante il trattamento</w:t>
      </w:r>
      <w:r w:rsidRPr="00226D33">
        <w:rPr>
          <w:rFonts w:cstheme="minorHAnsi"/>
          <w:iCs/>
        </w:rPr>
        <w:t xml:space="preserve">, </w:t>
      </w:r>
      <w:r w:rsidR="000D1053">
        <w:rPr>
          <w:rFonts w:cstheme="minorHAnsi"/>
          <w:iCs/>
        </w:rPr>
        <w:t>uno per infezione peritoneale</w:t>
      </w:r>
      <w:r w:rsidRPr="00226D33">
        <w:rPr>
          <w:rFonts w:cstheme="minorHAnsi"/>
          <w:iCs/>
        </w:rPr>
        <w:t xml:space="preserve">, </w:t>
      </w:r>
      <w:r w:rsidR="000D1053">
        <w:rPr>
          <w:rFonts w:cstheme="minorHAnsi"/>
          <w:iCs/>
        </w:rPr>
        <w:t xml:space="preserve">uno per </w:t>
      </w:r>
      <w:r w:rsidRPr="00226D33">
        <w:rPr>
          <w:rFonts w:cstheme="minorHAnsi"/>
          <w:iCs/>
        </w:rPr>
        <w:t>insufficienza resp</w:t>
      </w:r>
      <w:r w:rsidR="000D1053">
        <w:rPr>
          <w:rFonts w:cstheme="minorHAnsi"/>
          <w:iCs/>
        </w:rPr>
        <w:t xml:space="preserve">iratoria </w:t>
      </w:r>
      <w:r w:rsidRPr="00226D33">
        <w:rPr>
          <w:rFonts w:cstheme="minorHAnsi"/>
          <w:iCs/>
        </w:rPr>
        <w:t xml:space="preserve">e </w:t>
      </w:r>
      <w:r w:rsidR="000D1053">
        <w:rPr>
          <w:rFonts w:cstheme="minorHAnsi"/>
          <w:iCs/>
        </w:rPr>
        <w:t xml:space="preserve">uno per </w:t>
      </w:r>
      <w:r w:rsidRPr="00226D33">
        <w:rPr>
          <w:rFonts w:cstheme="minorHAnsi"/>
          <w:iCs/>
        </w:rPr>
        <w:t>morte improvvisa s</w:t>
      </w:r>
      <w:r w:rsidR="000D1053">
        <w:rPr>
          <w:rFonts w:cstheme="minorHAnsi"/>
          <w:iCs/>
        </w:rPr>
        <w:t>enza una causa specifica</w:t>
      </w:r>
      <w:r w:rsidRPr="00226D33">
        <w:rPr>
          <w:rFonts w:cstheme="minorHAnsi"/>
          <w:iCs/>
        </w:rPr>
        <w:t xml:space="preserve">. Nel gruppo </w:t>
      </w:r>
      <w:proofErr w:type="spellStart"/>
      <w:r w:rsidRPr="00226D33">
        <w:rPr>
          <w:rFonts w:cstheme="minorHAnsi"/>
          <w:iCs/>
        </w:rPr>
        <w:t>trastuzumab</w:t>
      </w:r>
      <w:proofErr w:type="spellEnd"/>
      <w:r w:rsidRPr="00226D33">
        <w:rPr>
          <w:rFonts w:cstheme="minorHAnsi"/>
          <w:iCs/>
        </w:rPr>
        <w:t xml:space="preserve"> e </w:t>
      </w:r>
      <w:proofErr w:type="spellStart"/>
      <w:r w:rsidRPr="00226D33">
        <w:rPr>
          <w:rFonts w:cstheme="minorHAnsi"/>
          <w:iCs/>
        </w:rPr>
        <w:t>pertuzumab</w:t>
      </w:r>
      <w:proofErr w:type="spellEnd"/>
      <w:r w:rsidRPr="00226D33">
        <w:rPr>
          <w:rFonts w:cstheme="minorHAnsi"/>
          <w:iCs/>
        </w:rPr>
        <w:t xml:space="preserve"> più metronomico per via orale con </w:t>
      </w:r>
      <w:proofErr w:type="spellStart"/>
      <w:r w:rsidRPr="00226D33">
        <w:rPr>
          <w:rFonts w:cstheme="minorHAnsi"/>
          <w:iCs/>
        </w:rPr>
        <w:t>ciclofosfamide</w:t>
      </w:r>
      <w:proofErr w:type="spellEnd"/>
      <w:r w:rsidRPr="00226D33">
        <w:rPr>
          <w:rFonts w:cstheme="minorHAnsi"/>
          <w:iCs/>
        </w:rPr>
        <w:t>, un</w:t>
      </w:r>
      <w:r w:rsidR="000D1053">
        <w:rPr>
          <w:rFonts w:cstheme="minorHAnsi"/>
          <w:iCs/>
        </w:rPr>
        <w:t xml:space="preserve"> solo</w:t>
      </w:r>
      <w:r w:rsidRPr="00226D33">
        <w:rPr>
          <w:rFonts w:cstheme="minorHAnsi"/>
          <w:iCs/>
        </w:rPr>
        <w:t xml:space="preserve"> paziente è deceduto per insufficienza cardiaca.</w:t>
      </w:r>
    </w:p>
    <w:p w:rsidR="00F57B77" w:rsidRDefault="00527574" w:rsidP="00527574">
      <w:pPr>
        <w:autoSpaceDE w:val="0"/>
        <w:autoSpaceDN w:val="0"/>
        <w:adjustRightInd w:val="0"/>
        <w:spacing w:before="240" w:after="0" w:line="240" w:lineRule="auto"/>
        <w:contextualSpacing/>
        <w:jc w:val="both"/>
        <w:rPr>
          <w:rFonts w:cstheme="minorHAnsi"/>
          <w:iCs/>
        </w:rPr>
      </w:pPr>
      <w:r w:rsidRPr="003F53E4">
        <w:rPr>
          <w:rFonts w:cstheme="minorHAnsi"/>
          <w:iCs/>
        </w:rPr>
        <w:t xml:space="preserve">Non è stata osservata una differenza statisticamente significativa tra i due gruppi nel peggioramento degli score ADL o IADL a 1 anno dal termine del trattamento. </w:t>
      </w:r>
    </w:p>
    <w:p w:rsidR="00F57B77" w:rsidRPr="003F53E4" w:rsidRDefault="00F57B77" w:rsidP="00527574">
      <w:pPr>
        <w:autoSpaceDE w:val="0"/>
        <w:autoSpaceDN w:val="0"/>
        <w:adjustRightInd w:val="0"/>
        <w:spacing w:before="240" w:after="0" w:line="240" w:lineRule="auto"/>
        <w:contextualSpacing/>
        <w:jc w:val="both"/>
        <w:rPr>
          <w:rFonts w:cstheme="minorHAnsi"/>
          <w:iCs/>
        </w:rPr>
      </w:pPr>
    </w:p>
    <w:p w:rsidR="00226D33" w:rsidRPr="00F57B77" w:rsidRDefault="00F57B77" w:rsidP="00527574">
      <w:pPr>
        <w:autoSpaceDE w:val="0"/>
        <w:autoSpaceDN w:val="0"/>
        <w:adjustRightInd w:val="0"/>
        <w:spacing w:before="240" w:after="0" w:line="240" w:lineRule="auto"/>
        <w:contextualSpacing/>
        <w:jc w:val="both"/>
        <w:rPr>
          <w:rFonts w:cstheme="minorHAnsi"/>
          <w:b/>
          <w:iCs/>
        </w:rPr>
      </w:pPr>
      <w:r w:rsidRPr="00F57B77">
        <w:rPr>
          <w:rFonts w:cstheme="minorHAnsi"/>
          <w:b/>
          <w:iCs/>
        </w:rPr>
        <w:t>Conclusioni</w:t>
      </w:r>
      <w:r w:rsidR="00527574" w:rsidRPr="00F57B77">
        <w:rPr>
          <w:rFonts w:cstheme="minorHAnsi"/>
          <w:b/>
          <w:iCs/>
        </w:rPr>
        <w:t xml:space="preserve"> </w:t>
      </w:r>
    </w:p>
    <w:p w:rsidR="00F57B77" w:rsidRDefault="00DA56B8" w:rsidP="00F57B77">
      <w:pPr>
        <w:autoSpaceDE w:val="0"/>
        <w:autoSpaceDN w:val="0"/>
        <w:adjustRightInd w:val="0"/>
        <w:spacing w:before="240" w:after="0" w:line="240" w:lineRule="auto"/>
        <w:contextualSpacing/>
        <w:jc w:val="both"/>
        <w:rPr>
          <w:rFonts w:cstheme="minorHAnsi"/>
          <w:iCs/>
        </w:rPr>
      </w:pPr>
      <w:r>
        <w:rPr>
          <w:rFonts w:cstheme="minorHAnsi"/>
          <w:iCs/>
        </w:rPr>
        <w:t xml:space="preserve">Gli effetti collaterali, la </w:t>
      </w:r>
      <w:r w:rsidRPr="00226D33">
        <w:rPr>
          <w:rFonts w:cstheme="minorHAnsi"/>
          <w:iCs/>
        </w:rPr>
        <w:t xml:space="preserve">tossicità cardiaca </w:t>
      </w:r>
      <w:r>
        <w:rPr>
          <w:rFonts w:cstheme="minorHAnsi"/>
          <w:iCs/>
        </w:rPr>
        <w:t xml:space="preserve">e la qualità di vita </w:t>
      </w:r>
      <w:r w:rsidRPr="00226D33">
        <w:rPr>
          <w:rFonts w:cstheme="minorHAnsi"/>
          <w:iCs/>
        </w:rPr>
        <w:t xml:space="preserve">è </w:t>
      </w:r>
      <w:r>
        <w:rPr>
          <w:rFonts w:cstheme="minorHAnsi"/>
          <w:iCs/>
        </w:rPr>
        <w:t>spesso motivo</w:t>
      </w:r>
      <w:r w:rsidRPr="00226D33">
        <w:rPr>
          <w:rFonts w:cstheme="minorHAnsi"/>
          <w:iCs/>
        </w:rPr>
        <w:t xml:space="preserve"> di preoccupazione quando si </w:t>
      </w:r>
      <w:proofErr w:type="spellStart"/>
      <w:r w:rsidRPr="00226D33">
        <w:rPr>
          <w:rFonts w:cstheme="minorHAnsi"/>
          <w:iCs/>
        </w:rPr>
        <w:t>prende</w:t>
      </w:r>
      <w:r>
        <w:rPr>
          <w:rFonts w:cstheme="minorHAnsi"/>
          <w:iCs/>
        </w:rPr>
        <w:t>no</w:t>
      </w:r>
      <w:proofErr w:type="spellEnd"/>
      <w:r>
        <w:rPr>
          <w:rFonts w:cstheme="minorHAnsi"/>
          <w:iCs/>
        </w:rPr>
        <w:t xml:space="preserve"> in </w:t>
      </w:r>
      <w:r w:rsidRPr="00226D33">
        <w:rPr>
          <w:rFonts w:cstheme="minorHAnsi"/>
          <w:iCs/>
        </w:rPr>
        <w:t>cura di pazienti</w:t>
      </w:r>
      <w:r>
        <w:rPr>
          <w:rFonts w:cstheme="minorHAnsi"/>
          <w:iCs/>
        </w:rPr>
        <w:t xml:space="preserve"> anziane con tumore mammario metastatico HER2-positivo</w:t>
      </w:r>
      <w:r w:rsidRPr="00226D33">
        <w:rPr>
          <w:rFonts w:cstheme="minorHAnsi"/>
          <w:iCs/>
        </w:rPr>
        <w:t xml:space="preserve">. </w:t>
      </w:r>
      <w:r w:rsidR="00F57B77">
        <w:rPr>
          <w:rFonts w:cstheme="minorHAnsi"/>
          <w:iCs/>
        </w:rPr>
        <w:t>Sebbene in un</w:t>
      </w:r>
      <w:r>
        <w:rPr>
          <w:rFonts w:cstheme="minorHAnsi"/>
          <w:iCs/>
        </w:rPr>
        <w:t xml:space="preserve"> campione limitato e selezionato</w:t>
      </w:r>
      <w:r w:rsidR="00F57B77">
        <w:rPr>
          <w:rFonts w:cstheme="minorHAnsi"/>
          <w:iCs/>
        </w:rPr>
        <w:t xml:space="preserve"> di</w:t>
      </w:r>
      <w:r>
        <w:rPr>
          <w:rFonts w:cstheme="minorHAnsi"/>
          <w:iCs/>
        </w:rPr>
        <w:t xml:space="preserve"> tali</w:t>
      </w:r>
      <w:r w:rsidR="00F57B77">
        <w:rPr>
          <w:rFonts w:cstheme="minorHAnsi"/>
          <w:iCs/>
        </w:rPr>
        <w:t xml:space="preserve"> </w:t>
      </w:r>
      <w:proofErr w:type="spellStart"/>
      <w:r w:rsidR="00F57B77">
        <w:rPr>
          <w:rFonts w:cstheme="minorHAnsi"/>
          <w:iCs/>
        </w:rPr>
        <w:t>pazient</w:t>
      </w:r>
      <w:proofErr w:type="spellEnd"/>
      <w:r>
        <w:rPr>
          <w:rFonts w:cstheme="minorHAnsi"/>
          <w:iCs/>
        </w:rPr>
        <w:t>,</w:t>
      </w:r>
      <w:r w:rsidR="00F57B77">
        <w:rPr>
          <w:rFonts w:cstheme="minorHAnsi"/>
          <w:iCs/>
        </w:rPr>
        <w:t xml:space="preserve"> </w:t>
      </w:r>
      <w:r w:rsidR="00527574" w:rsidRPr="003F53E4">
        <w:rPr>
          <w:rFonts w:cstheme="minorHAnsi"/>
          <w:iCs/>
        </w:rPr>
        <w:t>l’aggiunta del</w:t>
      </w:r>
      <w:r w:rsidR="00245755">
        <w:rPr>
          <w:rFonts w:cstheme="minorHAnsi"/>
          <w:iCs/>
        </w:rPr>
        <w:t xml:space="preserve">la </w:t>
      </w:r>
      <w:proofErr w:type="spellStart"/>
      <w:r w:rsidR="00245755">
        <w:rPr>
          <w:rFonts w:cstheme="minorHAnsi"/>
          <w:iCs/>
        </w:rPr>
        <w:t>c</w:t>
      </w:r>
      <w:r w:rsidR="00527574" w:rsidRPr="003F53E4">
        <w:rPr>
          <w:rFonts w:cstheme="minorHAnsi"/>
          <w:iCs/>
        </w:rPr>
        <w:t>iclofosfamide</w:t>
      </w:r>
      <w:proofErr w:type="spellEnd"/>
      <w:r w:rsidR="00527574" w:rsidRPr="003F53E4">
        <w:rPr>
          <w:rFonts w:cstheme="minorHAnsi"/>
          <w:iCs/>
        </w:rPr>
        <w:t xml:space="preserve"> metronomica al </w:t>
      </w:r>
      <w:proofErr w:type="spellStart"/>
      <w:r w:rsidR="00527574" w:rsidRPr="003F53E4">
        <w:rPr>
          <w:rFonts w:cstheme="minorHAnsi"/>
          <w:iCs/>
        </w:rPr>
        <w:t>trastuzumab</w:t>
      </w:r>
      <w:proofErr w:type="spellEnd"/>
      <w:r w:rsidR="00527574" w:rsidRPr="003F53E4">
        <w:rPr>
          <w:rFonts w:cstheme="minorHAnsi"/>
          <w:iCs/>
        </w:rPr>
        <w:t xml:space="preserve"> e al </w:t>
      </w:r>
      <w:proofErr w:type="spellStart"/>
      <w:r w:rsidR="00527574" w:rsidRPr="003F53E4">
        <w:rPr>
          <w:rFonts w:cstheme="minorHAnsi"/>
          <w:iCs/>
        </w:rPr>
        <w:t>pertuzumab</w:t>
      </w:r>
      <w:proofErr w:type="spellEnd"/>
      <w:r w:rsidR="00527574" w:rsidRPr="003F53E4">
        <w:rPr>
          <w:rFonts w:cstheme="minorHAnsi"/>
          <w:iCs/>
        </w:rPr>
        <w:t xml:space="preserve"> </w:t>
      </w:r>
      <w:r w:rsidR="00A47746">
        <w:rPr>
          <w:rFonts w:cstheme="minorHAnsi"/>
          <w:iCs/>
        </w:rPr>
        <w:t>ha dimostrato</w:t>
      </w:r>
      <w:r w:rsidR="00A47746" w:rsidRPr="00A47746">
        <w:rPr>
          <w:rFonts w:cstheme="minorHAnsi"/>
          <w:iCs/>
        </w:rPr>
        <w:t xml:space="preserve"> un significativo beneficio in termini di sopravvivenza senza </w:t>
      </w:r>
      <w:r w:rsidR="00A47746">
        <w:rPr>
          <w:rFonts w:cstheme="minorHAnsi"/>
          <w:iCs/>
        </w:rPr>
        <w:t>ulteriori problemi di sicurezza,</w:t>
      </w:r>
      <w:r w:rsidR="00527574" w:rsidRPr="003F53E4">
        <w:rPr>
          <w:rFonts w:cstheme="minorHAnsi"/>
          <w:iCs/>
        </w:rPr>
        <w:t xml:space="preserve"> aumenta</w:t>
      </w:r>
      <w:r w:rsidR="00A47746">
        <w:rPr>
          <w:rFonts w:cstheme="minorHAnsi"/>
          <w:iCs/>
        </w:rPr>
        <w:t>ndo</w:t>
      </w:r>
      <w:r w:rsidR="00527574" w:rsidRPr="003F53E4">
        <w:rPr>
          <w:rFonts w:cstheme="minorHAnsi"/>
          <w:iCs/>
        </w:rPr>
        <w:t xml:space="preserve"> la PFS mediana di 6 mesi r</w:t>
      </w:r>
      <w:r w:rsidR="00F57B77">
        <w:rPr>
          <w:rFonts w:cstheme="minorHAnsi"/>
          <w:iCs/>
        </w:rPr>
        <w:t xml:space="preserve">ispetto al solo blocco di HER 2. </w:t>
      </w:r>
      <w:r w:rsidR="00F57B77">
        <w:rPr>
          <w:rFonts w:cstheme="minorHAnsi"/>
          <w:iCs/>
        </w:rPr>
        <w:t>Poiché le pazienti in progressione hanno dimostrato efficacia e</w:t>
      </w:r>
      <w:r w:rsidR="00245755">
        <w:rPr>
          <w:rFonts w:cstheme="minorHAnsi"/>
          <w:iCs/>
        </w:rPr>
        <w:t xml:space="preserve"> </w:t>
      </w:r>
      <w:r w:rsidR="00F57B77">
        <w:rPr>
          <w:rFonts w:cstheme="minorHAnsi"/>
          <w:iCs/>
        </w:rPr>
        <w:t xml:space="preserve">buona tolleranza al </w:t>
      </w:r>
      <w:r>
        <w:rPr>
          <w:rFonts w:cstheme="minorHAnsi"/>
          <w:iCs/>
        </w:rPr>
        <w:t xml:space="preserve">successivo </w:t>
      </w:r>
      <w:r w:rsidR="00F57B77">
        <w:rPr>
          <w:rFonts w:cstheme="minorHAnsi"/>
          <w:iCs/>
        </w:rPr>
        <w:t xml:space="preserve">trattamento con </w:t>
      </w:r>
      <w:proofErr w:type="spellStart"/>
      <w:r w:rsidR="00F57B77">
        <w:rPr>
          <w:rFonts w:cstheme="minorHAnsi"/>
          <w:iCs/>
        </w:rPr>
        <w:t>Trastuzumab-Emtansine</w:t>
      </w:r>
      <w:proofErr w:type="spellEnd"/>
      <w:r w:rsidR="00F57B77">
        <w:rPr>
          <w:rFonts w:cstheme="minorHAnsi"/>
          <w:iCs/>
        </w:rPr>
        <w:t xml:space="preserve"> (T-DM1),</w:t>
      </w:r>
      <w:r w:rsidR="00F57B77" w:rsidRPr="00F57B77">
        <w:rPr>
          <w:rFonts w:cstheme="minorHAnsi"/>
          <w:iCs/>
        </w:rPr>
        <w:t xml:space="preserve"> </w:t>
      </w:r>
      <w:proofErr w:type="spellStart"/>
      <w:r w:rsidR="00F57B77">
        <w:rPr>
          <w:rFonts w:cstheme="minorHAnsi"/>
          <w:iCs/>
        </w:rPr>
        <w:t>t</w:t>
      </w:r>
      <w:r w:rsidR="00F57B77" w:rsidRPr="00226D33">
        <w:rPr>
          <w:rFonts w:cstheme="minorHAnsi"/>
          <w:iCs/>
        </w:rPr>
        <w:t>rastuzumab</w:t>
      </w:r>
      <w:proofErr w:type="spellEnd"/>
      <w:r w:rsidR="00F57B77" w:rsidRPr="00226D33">
        <w:rPr>
          <w:rFonts w:cstheme="minorHAnsi"/>
          <w:iCs/>
        </w:rPr>
        <w:t xml:space="preserve"> e </w:t>
      </w:r>
      <w:proofErr w:type="spellStart"/>
      <w:r w:rsidR="00F57B77" w:rsidRPr="00226D33">
        <w:rPr>
          <w:rFonts w:cstheme="minorHAnsi"/>
          <w:iCs/>
        </w:rPr>
        <w:t>pertuzumab</w:t>
      </w:r>
      <w:proofErr w:type="spellEnd"/>
      <w:r w:rsidR="00F57B77" w:rsidRPr="00226D33">
        <w:rPr>
          <w:rFonts w:cstheme="minorHAnsi"/>
          <w:iCs/>
        </w:rPr>
        <w:t xml:space="preserve"> più </w:t>
      </w:r>
      <w:proofErr w:type="spellStart"/>
      <w:r w:rsidR="00F57B77" w:rsidRPr="00226D33">
        <w:rPr>
          <w:rFonts w:cstheme="minorHAnsi"/>
          <w:iCs/>
        </w:rPr>
        <w:t>ciclofosfamide</w:t>
      </w:r>
      <w:proofErr w:type="spellEnd"/>
      <w:r w:rsidR="00F57B77" w:rsidRPr="00226D33">
        <w:rPr>
          <w:rFonts w:cstheme="minorHAnsi"/>
          <w:iCs/>
        </w:rPr>
        <w:t xml:space="preserve"> orale metronomica</w:t>
      </w:r>
      <w:r w:rsidR="00F57B77" w:rsidRPr="00F57B77">
        <w:rPr>
          <w:rFonts w:cstheme="minorHAnsi"/>
          <w:iCs/>
        </w:rPr>
        <w:t xml:space="preserve"> </w:t>
      </w:r>
      <w:r w:rsidR="00F57B77" w:rsidRPr="00226D33">
        <w:rPr>
          <w:rFonts w:cstheme="minorHAnsi"/>
          <w:iCs/>
        </w:rPr>
        <w:t>potrebbero</w:t>
      </w:r>
      <w:r w:rsidR="00245755">
        <w:rPr>
          <w:rFonts w:cstheme="minorHAnsi"/>
          <w:iCs/>
        </w:rPr>
        <w:t xml:space="preserve"> essere prese in considerazione allo scopo di</w:t>
      </w:r>
      <w:r w:rsidR="00F57B77" w:rsidRPr="00226D33">
        <w:rPr>
          <w:rFonts w:cstheme="minorHAnsi"/>
          <w:iCs/>
        </w:rPr>
        <w:t xml:space="preserve"> ritardare o sostituire la necessità di una chemioterapia </w:t>
      </w:r>
      <w:r w:rsidR="00F57B77">
        <w:rPr>
          <w:rFonts w:cstheme="minorHAnsi"/>
          <w:iCs/>
        </w:rPr>
        <w:t xml:space="preserve">con </w:t>
      </w:r>
      <w:proofErr w:type="spellStart"/>
      <w:r w:rsidR="00F57B77">
        <w:rPr>
          <w:rFonts w:cstheme="minorHAnsi"/>
          <w:iCs/>
        </w:rPr>
        <w:t>taxani</w:t>
      </w:r>
      <w:proofErr w:type="spellEnd"/>
      <w:r w:rsidR="00F57B77" w:rsidRPr="00226D33">
        <w:rPr>
          <w:rFonts w:cstheme="minorHAnsi"/>
          <w:iCs/>
        </w:rPr>
        <w:t xml:space="preserve"> in questa popolazione.</w:t>
      </w:r>
    </w:p>
    <w:p w:rsidR="00527574" w:rsidRDefault="00527574" w:rsidP="00527574">
      <w:pPr>
        <w:autoSpaceDE w:val="0"/>
        <w:autoSpaceDN w:val="0"/>
        <w:adjustRightInd w:val="0"/>
        <w:spacing w:before="240" w:after="0" w:line="240" w:lineRule="auto"/>
        <w:contextualSpacing/>
        <w:jc w:val="both"/>
        <w:rPr>
          <w:rFonts w:cstheme="minorHAnsi"/>
          <w:iCs/>
        </w:rPr>
      </w:pPr>
    </w:p>
    <w:p w:rsidR="00226D33" w:rsidRDefault="00226D33" w:rsidP="00527574">
      <w:pPr>
        <w:autoSpaceDE w:val="0"/>
        <w:autoSpaceDN w:val="0"/>
        <w:adjustRightInd w:val="0"/>
        <w:spacing w:before="240" w:after="0" w:line="240" w:lineRule="auto"/>
        <w:contextualSpacing/>
        <w:jc w:val="both"/>
        <w:rPr>
          <w:rFonts w:cstheme="minorHAnsi"/>
          <w:iCs/>
        </w:rPr>
      </w:pPr>
    </w:p>
    <w:p w:rsidR="00527574" w:rsidRDefault="00527574" w:rsidP="00527574">
      <w:pPr>
        <w:autoSpaceDE w:val="0"/>
        <w:autoSpaceDN w:val="0"/>
        <w:adjustRightInd w:val="0"/>
        <w:spacing w:before="240" w:after="0" w:line="240" w:lineRule="auto"/>
        <w:contextualSpacing/>
        <w:jc w:val="both"/>
        <w:rPr>
          <w:rFonts w:cstheme="minorHAnsi"/>
          <w:iCs/>
        </w:rPr>
      </w:pPr>
    </w:p>
    <w:p w:rsidR="00527574" w:rsidRPr="003F53E4" w:rsidRDefault="00527574" w:rsidP="00527574">
      <w:pPr>
        <w:autoSpaceDE w:val="0"/>
        <w:autoSpaceDN w:val="0"/>
        <w:adjustRightInd w:val="0"/>
        <w:spacing w:before="240" w:after="0" w:line="240" w:lineRule="auto"/>
        <w:contextualSpacing/>
        <w:jc w:val="both"/>
        <w:rPr>
          <w:rFonts w:cstheme="minorHAnsi"/>
          <w:iCs/>
        </w:rPr>
      </w:pPr>
      <w:r>
        <w:rPr>
          <w:rFonts w:cstheme="minorHAnsi"/>
          <w:iCs/>
        </w:rPr>
        <w:t>_______________________________________________________________________________________</w:t>
      </w:r>
    </w:p>
    <w:p w:rsidR="00527574" w:rsidRPr="003F53E4" w:rsidRDefault="00527574" w:rsidP="00527574">
      <w:pPr>
        <w:autoSpaceDE w:val="0"/>
        <w:autoSpaceDN w:val="0"/>
        <w:adjustRightInd w:val="0"/>
        <w:spacing w:before="240" w:after="0" w:line="240" w:lineRule="auto"/>
        <w:contextualSpacing/>
        <w:jc w:val="both"/>
        <w:rPr>
          <w:rFonts w:cstheme="minorHAnsi"/>
          <w:iCs/>
        </w:rPr>
      </w:pPr>
    </w:p>
    <w:p w:rsidR="00527574" w:rsidRPr="00527574" w:rsidRDefault="00527574" w:rsidP="00527574">
      <w:pPr>
        <w:autoSpaceDE w:val="0"/>
        <w:autoSpaceDN w:val="0"/>
        <w:adjustRightInd w:val="0"/>
        <w:spacing w:before="240" w:after="0" w:line="240" w:lineRule="auto"/>
        <w:contextualSpacing/>
        <w:rPr>
          <w:rFonts w:cstheme="minorHAnsi"/>
          <w:b/>
          <w:bCs/>
          <w:iCs/>
          <w:sz w:val="24"/>
          <w:szCs w:val="24"/>
          <w:u w:val="single"/>
          <w:lang w:val="en-GB"/>
        </w:rPr>
      </w:pPr>
      <w:r w:rsidRPr="00527574">
        <w:rPr>
          <w:rFonts w:cstheme="minorHAnsi"/>
          <w:b/>
          <w:bCs/>
          <w:iCs/>
          <w:sz w:val="24"/>
          <w:szCs w:val="24"/>
          <w:u w:val="single"/>
          <w:lang w:val="en-GB"/>
        </w:rPr>
        <w:t xml:space="preserve">Addition of the PARP inhibitor </w:t>
      </w:r>
      <w:proofErr w:type="spellStart"/>
      <w:r w:rsidRPr="00527574">
        <w:rPr>
          <w:rFonts w:cstheme="minorHAnsi"/>
          <w:b/>
          <w:bCs/>
          <w:iCs/>
          <w:sz w:val="24"/>
          <w:szCs w:val="24"/>
          <w:u w:val="single"/>
          <w:lang w:val="en-GB"/>
        </w:rPr>
        <w:t>veliparib</w:t>
      </w:r>
      <w:proofErr w:type="spellEnd"/>
      <w:r w:rsidRPr="00527574">
        <w:rPr>
          <w:rFonts w:cstheme="minorHAnsi"/>
          <w:b/>
          <w:bCs/>
          <w:iCs/>
          <w:sz w:val="24"/>
          <w:szCs w:val="24"/>
          <w:u w:val="single"/>
          <w:lang w:val="en-GB"/>
        </w:rPr>
        <w:t xml:space="preserve"> plus carboplatin or carboplatin alone to standard </w:t>
      </w:r>
      <w:proofErr w:type="spellStart"/>
      <w:r w:rsidRPr="00527574">
        <w:rPr>
          <w:rFonts w:cstheme="minorHAnsi"/>
          <w:b/>
          <w:bCs/>
          <w:iCs/>
          <w:sz w:val="24"/>
          <w:szCs w:val="24"/>
          <w:u w:val="single"/>
          <w:lang w:val="en-GB"/>
        </w:rPr>
        <w:t>neoadjuvant</w:t>
      </w:r>
      <w:proofErr w:type="spellEnd"/>
      <w:r w:rsidRPr="00527574">
        <w:rPr>
          <w:rFonts w:cstheme="minorHAnsi"/>
          <w:b/>
          <w:bCs/>
          <w:iCs/>
          <w:sz w:val="24"/>
          <w:szCs w:val="24"/>
          <w:u w:val="single"/>
          <w:lang w:val="en-GB"/>
        </w:rPr>
        <w:t xml:space="preserve"> chemotherapy in triple-negative breast cancer (</w:t>
      </w:r>
      <w:proofErr w:type="spellStart"/>
      <w:r w:rsidRPr="00527574">
        <w:rPr>
          <w:rFonts w:cstheme="minorHAnsi"/>
          <w:b/>
          <w:bCs/>
          <w:iCs/>
          <w:sz w:val="24"/>
          <w:szCs w:val="24"/>
          <w:u w:val="single"/>
          <w:lang w:val="en-GB"/>
        </w:rPr>
        <w:t>BrighTNess</w:t>
      </w:r>
      <w:proofErr w:type="spellEnd"/>
      <w:r w:rsidRPr="00527574">
        <w:rPr>
          <w:rFonts w:cstheme="minorHAnsi"/>
          <w:b/>
          <w:bCs/>
          <w:iCs/>
          <w:sz w:val="24"/>
          <w:szCs w:val="24"/>
          <w:u w:val="single"/>
          <w:lang w:val="en-GB"/>
        </w:rPr>
        <w:t>): a randomised, phase 3 trial.</w:t>
      </w:r>
    </w:p>
    <w:p w:rsidR="00527574" w:rsidRDefault="00527574" w:rsidP="00527574">
      <w:pPr>
        <w:autoSpaceDE w:val="0"/>
        <w:autoSpaceDN w:val="0"/>
        <w:adjustRightInd w:val="0"/>
        <w:spacing w:before="240" w:after="0" w:line="240" w:lineRule="auto"/>
        <w:contextualSpacing/>
        <w:jc w:val="both"/>
        <w:rPr>
          <w:rFonts w:cstheme="minorHAnsi"/>
          <w:i/>
          <w:iCs/>
          <w:sz w:val="24"/>
          <w:szCs w:val="24"/>
          <w:lang w:val="en-GB"/>
        </w:rPr>
      </w:pPr>
      <w:proofErr w:type="spellStart"/>
      <w:r w:rsidRPr="00527574">
        <w:rPr>
          <w:rFonts w:cstheme="minorHAnsi"/>
          <w:i/>
          <w:iCs/>
          <w:sz w:val="24"/>
          <w:szCs w:val="24"/>
          <w:lang w:val="en-GB"/>
        </w:rPr>
        <w:t>Sibylle</w:t>
      </w:r>
      <w:proofErr w:type="spellEnd"/>
      <w:r w:rsidRPr="00527574">
        <w:rPr>
          <w:rFonts w:cstheme="minorHAnsi"/>
          <w:i/>
          <w:iCs/>
          <w:sz w:val="24"/>
          <w:szCs w:val="24"/>
          <w:lang w:val="en-GB"/>
        </w:rPr>
        <w:t xml:space="preserve"> </w:t>
      </w:r>
      <w:proofErr w:type="spellStart"/>
      <w:r w:rsidRPr="00527574">
        <w:rPr>
          <w:rFonts w:cstheme="minorHAnsi"/>
          <w:i/>
          <w:iCs/>
          <w:sz w:val="24"/>
          <w:szCs w:val="24"/>
          <w:lang w:val="en-GB"/>
        </w:rPr>
        <w:t>Loibl</w:t>
      </w:r>
      <w:proofErr w:type="spellEnd"/>
      <w:r w:rsidRPr="00527574">
        <w:rPr>
          <w:rFonts w:cstheme="minorHAnsi"/>
          <w:i/>
          <w:iCs/>
          <w:sz w:val="24"/>
          <w:szCs w:val="24"/>
          <w:lang w:val="en-GB"/>
        </w:rPr>
        <w:t xml:space="preserve">, Joyce O’Shaughnessy, Michael </w:t>
      </w:r>
      <w:proofErr w:type="spellStart"/>
      <w:r w:rsidRPr="00527574">
        <w:rPr>
          <w:rFonts w:cstheme="minorHAnsi"/>
          <w:i/>
          <w:iCs/>
          <w:sz w:val="24"/>
          <w:szCs w:val="24"/>
          <w:lang w:val="en-GB"/>
        </w:rPr>
        <w:t>Untch</w:t>
      </w:r>
      <w:proofErr w:type="spellEnd"/>
      <w:r w:rsidRPr="00527574">
        <w:rPr>
          <w:rFonts w:cstheme="minorHAnsi"/>
          <w:i/>
          <w:iCs/>
          <w:sz w:val="24"/>
          <w:szCs w:val="24"/>
          <w:lang w:val="en-GB"/>
        </w:rPr>
        <w:t xml:space="preserve">, William M </w:t>
      </w:r>
      <w:proofErr w:type="spellStart"/>
      <w:r w:rsidRPr="00527574">
        <w:rPr>
          <w:rFonts w:cstheme="minorHAnsi"/>
          <w:i/>
          <w:iCs/>
          <w:sz w:val="24"/>
          <w:szCs w:val="24"/>
          <w:lang w:val="en-GB"/>
        </w:rPr>
        <w:t>Sikov</w:t>
      </w:r>
      <w:proofErr w:type="spellEnd"/>
      <w:r w:rsidRPr="00527574">
        <w:rPr>
          <w:rFonts w:cstheme="minorHAnsi"/>
          <w:i/>
          <w:iCs/>
          <w:sz w:val="24"/>
          <w:szCs w:val="24"/>
          <w:lang w:val="en-GB"/>
        </w:rPr>
        <w:t xml:space="preserve">, Hope S </w:t>
      </w:r>
      <w:proofErr w:type="spellStart"/>
      <w:r w:rsidRPr="00527574">
        <w:rPr>
          <w:rFonts w:cstheme="minorHAnsi"/>
          <w:i/>
          <w:iCs/>
          <w:sz w:val="24"/>
          <w:szCs w:val="24"/>
          <w:lang w:val="en-GB"/>
        </w:rPr>
        <w:t>Rugo</w:t>
      </w:r>
      <w:proofErr w:type="spellEnd"/>
      <w:r w:rsidRPr="00527574">
        <w:rPr>
          <w:rFonts w:cstheme="minorHAnsi"/>
          <w:i/>
          <w:iCs/>
          <w:sz w:val="24"/>
          <w:szCs w:val="24"/>
          <w:lang w:val="en-GB"/>
        </w:rPr>
        <w:t xml:space="preserve">, Mark D McKee, Jens </w:t>
      </w:r>
      <w:proofErr w:type="spellStart"/>
      <w:r w:rsidRPr="00527574">
        <w:rPr>
          <w:rFonts w:cstheme="minorHAnsi"/>
          <w:i/>
          <w:iCs/>
          <w:sz w:val="24"/>
          <w:szCs w:val="24"/>
          <w:lang w:val="en-GB"/>
        </w:rPr>
        <w:t>Huober</w:t>
      </w:r>
      <w:proofErr w:type="spellEnd"/>
      <w:r w:rsidRPr="00527574">
        <w:rPr>
          <w:rFonts w:cstheme="minorHAnsi"/>
          <w:i/>
          <w:iCs/>
          <w:sz w:val="24"/>
          <w:szCs w:val="24"/>
          <w:lang w:val="en-GB"/>
        </w:rPr>
        <w:t xml:space="preserve">, </w:t>
      </w:r>
      <w:proofErr w:type="spellStart"/>
      <w:r w:rsidRPr="00527574">
        <w:rPr>
          <w:rFonts w:cstheme="minorHAnsi"/>
          <w:i/>
          <w:iCs/>
          <w:sz w:val="24"/>
          <w:szCs w:val="24"/>
          <w:lang w:val="en-GB"/>
        </w:rPr>
        <w:t>Mehra</w:t>
      </w:r>
      <w:proofErr w:type="spellEnd"/>
      <w:r w:rsidRPr="00527574">
        <w:rPr>
          <w:rFonts w:cstheme="minorHAnsi"/>
          <w:i/>
          <w:iCs/>
          <w:sz w:val="24"/>
          <w:szCs w:val="24"/>
          <w:lang w:val="en-GB"/>
        </w:rPr>
        <w:t xml:space="preserve"> </w:t>
      </w:r>
      <w:proofErr w:type="spellStart"/>
      <w:r w:rsidRPr="00527574">
        <w:rPr>
          <w:rFonts w:cstheme="minorHAnsi"/>
          <w:i/>
          <w:iCs/>
          <w:sz w:val="24"/>
          <w:szCs w:val="24"/>
          <w:lang w:val="en-GB"/>
        </w:rPr>
        <w:t>Golshan</w:t>
      </w:r>
      <w:proofErr w:type="spellEnd"/>
      <w:r w:rsidRPr="00527574">
        <w:rPr>
          <w:rFonts w:cstheme="minorHAnsi"/>
          <w:i/>
          <w:iCs/>
          <w:sz w:val="24"/>
          <w:szCs w:val="24"/>
          <w:lang w:val="en-GB"/>
        </w:rPr>
        <w:t xml:space="preserve">, Gunter von </w:t>
      </w:r>
      <w:proofErr w:type="spellStart"/>
      <w:r w:rsidRPr="00527574">
        <w:rPr>
          <w:rFonts w:cstheme="minorHAnsi"/>
          <w:i/>
          <w:iCs/>
          <w:sz w:val="24"/>
          <w:szCs w:val="24"/>
          <w:lang w:val="en-GB"/>
        </w:rPr>
        <w:t>Minckwitz</w:t>
      </w:r>
      <w:proofErr w:type="spellEnd"/>
      <w:r w:rsidRPr="00527574">
        <w:rPr>
          <w:rFonts w:cstheme="minorHAnsi"/>
          <w:i/>
          <w:iCs/>
          <w:sz w:val="24"/>
          <w:szCs w:val="24"/>
          <w:lang w:val="en-GB"/>
        </w:rPr>
        <w:t xml:space="preserve">, David </w:t>
      </w:r>
      <w:proofErr w:type="spellStart"/>
      <w:r w:rsidRPr="00527574">
        <w:rPr>
          <w:rFonts w:cstheme="minorHAnsi"/>
          <w:i/>
          <w:iCs/>
          <w:sz w:val="24"/>
          <w:szCs w:val="24"/>
          <w:lang w:val="en-GB"/>
        </w:rPr>
        <w:t>Maag</w:t>
      </w:r>
      <w:proofErr w:type="spellEnd"/>
      <w:r w:rsidRPr="00527574">
        <w:rPr>
          <w:rFonts w:cstheme="minorHAnsi"/>
          <w:i/>
          <w:iCs/>
          <w:sz w:val="24"/>
          <w:szCs w:val="24"/>
          <w:lang w:val="en-GB"/>
        </w:rPr>
        <w:t xml:space="preserve">, Danielle Sullivan, Norman </w:t>
      </w:r>
      <w:proofErr w:type="spellStart"/>
      <w:r w:rsidRPr="00527574">
        <w:rPr>
          <w:rFonts w:cstheme="minorHAnsi"/>
          <w:i/>
          <w:iCs/>
          <w:sz w:val="24"/>
          <w:szCs w:val="24"/>
          <w:lang w:val="en-GB"/>
        </w:rPr>
        <w:t>Wolmark</w:t>
      </w:r>
      <w:proofErr w:type="spellEnd"/>
      <w:r w:rsidRPr="00527574">
        <w:rPr>
          <w:rFonts w:cstheme="minorHAnsi"/>
          <w:i/>
          <w:iCs/>
          <w:sz w:val="24"/>
          <w:szCs w:val="24"/>
          <w:lang w:val="en-GB"/>
        </w:rPr>
        <w:t xml:space="preserve">, Kristi McIntyre, Jose J Ponce Lorenzo, Otto Metzger </w:t>
      </w:r>
      <w:proofErr w:type="spellStart"/>
      <w:r w:rsidRPr="00527574">
        <w:rPr>
          <w:rFonts w:cstheme="minorHAnsi"/>
          <w:i/>
          <w:iCs/>
          <w:sz w:val="24"/>
          <w:szCs w:val="24"/>
          <w:lang w:val="en-GB"/>
        </w:rPr>
        <w:t>Filho</w:t>
      </w:r>
      <w:proofErr w:type="spellEnd"/>
      <w:r w:rsidRPr="00527574">
        <w:rPr>
          <w:rFonts w:cstheme="minorHAnsi"/>
          <w:i/>
          <w:iCs/>
          <w:sz w:val="24"/>
          <w:szCs w:val="24"/>
          <w:lang w:val="en-GB"/>
        </w:rPr>
        <w:t xml:space="preserve">, </w:t>
      </w:r>
      <w:proofErr w:type="spellStart"/>
      <w:r w:rsidRPr="00527574">
        <w:rPr>
          <w:rFonts w:cstheme="minorHAnsi"/>
          <w:i/>
          <w:iCs/>
          <w:sz w:val="24"/>
          <w:szCs w:val="24"/>
          <w:lang w:val="en-GB"/>
        </w:rPr>
        <w:t>Priya</w:t>
      </w:r>
      <w:proofErr w:type="spellEnd"/>
      <w:r w:rsidRPr="00527574">
        <w:rPr>
          <w:rFonts w:cstheme="minorHAnsi"/>
          <w:i/>
          <w:iCs/>
          <w:sz w:val="24"/>
          <w:szCs w:val="24"/>
          <w:lang w:val="en-GB"/>
        </w:rPr>
        <w:t xml:space="preserve"> </w:t>
      </w:r>
      <w:proofErr w:type="spellStart"/>
      <w:r w:rsidRPr="00527574">
        <w:rPr>
          <w:rFonts w:cstheme="minorHAnsi"/>
          <w:i/>
          <w:iCs/>
          <w:sz w:val="24"/>
          <w:szCs w:val="24"/>
          <w:lang w:val="en-GB"/>
        </w:rPr>
        <w:t>Rastogi</w:t>
      </w:r>
      <w:proofErr w:type="spellEnd"/>
      <w:r w:rsidRPr="00527574">
        <w:rPr>
          <w:rFonts w:cstheme="minorHAnsi"/>
          <w:i/>
          <w:iCs/>
          <w:sz w:val="24"/>
          <w:szCs w:val="24"/>
          <w:lang w:val="en-GB"/>
        </w:rPr>
        <w:t xml:space="preserve">, W Fraser </w:t>
      </w:r>
      <w:proofErr w:type="spellStart"/>
      <w:r w:rsidRPr="00527574">
        <w:rPr>
          <w:rFonts w:cstheme="minorHAnsi"/>
          <w:i/>
          <w:iCs/>
          <w:sz w:val="24"/>
          <w:szCs w:val="24"/>
          <w:lang w:val="en-GB"/>
        </w:rPr>
        <w:t>Symmans</w:t>
      </w:r>
      <w:proofErr w:type="spellEnd"/>
      <w:r w:rsidRPr="00527574">
        <w:rPr>
          <w:rFonts w:cstheme="minorHAnsi"/>
          <w:i/>
          <w:iCs/>
          <w:sz w:val="24"/>
          <w:szCs w:val="24"/>
          <w:lang w:val="en-GB"/>
        </w:rPr>
        <w:t xml:space="preserve">, </w:t>
      </w:r>
      <w:proofErr w:type="spellStart"/>
      <w:r w:rsidRPr="00527574">
        <w:rPr>
          <w:rFonts w:cstheme="minorHAnsi"/>
          <w:i/>
          <w:iCs/>
          <w:sz w:val="24"/>
          <w:szCs w:val="24"/>
          <w:lang w:val="en-GB"/>
        </w:rPr>
        <w:t>Xuan</w:t>
      </w:r>
      <w:proofErr w:type="spellEnd"/>
      <w:r w:rsidRPr="00527574">
        <w:rPr>
          <w:rFonts w:cstheme="minorHAnsi"/>
          <w:i/>
          <w:iCs/>
          <w:sz w:val="24"/>
          <w:szCs w:val="24"/>
          <w:lang w:val="en-GB"/>
        </w:rPr>
        <w:t xml:space="preserve"> Liu, Charles E Geyer Jr.</w:t>
      </w:r>
    </w:p>
    <w:p w:rsidR="00527574" w:rsidRDefault="00033CFC" w:rsidP="00033CFC">
      <w:pPr>
        <w:shd w:val="clear" w:color="auto" w:fill="FFFFFF"/>
        <w:spacing w:line="348" w:lineRule="atLeast"/>
        <w:rPr>
          <w:rFonts w:cstheme="minorHAnsi"/>
          <w:i/>
          <w:iCs/>
          <w:sz w:val="24"/>
          <w:szCs w:val="24"/>
          <w:lang w:val="en-GB"/>
        </w:rPr>
      </w:pPr>
      <w:hyperlink r:id="rId18" w:tooltip="The Lancet. Oncology." w:history="1">
        <w:r w:rsidRPr="00033CFC">
          <w:rPr>
            <w:rStyle w:val="Collegamentoipertestuale"/>
            <w:rFonts w:cstheme="minorHAnsi"/>
            <w:b/>
            <w:color w:val="auto"/>
            <w:u w:val="none"/>
          </w:rPr>
          <w:t xml:space="preserve">Lancet </w:t>
        </w:r>
        <w:proofErr w:type="spellStart"/>
        <w:r w:rsidRPr="00033CFC">
          <w:rPr>
            <w:rStyle w:val="Collegamentoipertestuale"/>
            <w:rFonts w:cstheme="minorHAnsi"/>
            <w:b/>
            <w:color w:val="auto"/>
            <w:u w:val="none"/>
          </w:rPr>
          <w:t>Oncol</w:t>
        </w:r>
        <w:proofErr w:type="spellEnd"/>
        <w:r w:rsidRPr="00033CFC">
          <w:rPr>
            <w:rStyle w:val="Collegamentoipertestuale"/>
            <w:rFonts w:cstheme="minorHAnsi"/>
            <w:b/>
            <w:color w:val="auto"/>
            <w:u w:val="none"/>
          </w:rPr>
          <w:t>.</w:t>
        </w:r>
      </w:hyperlink>
      <w:r w:rsidRPr="00033CFC">
        <w:rPr>
          <w:rFonts w:cstheme="minorHAnsi"/>
          <w:b/>
        </w:rPr>
        <w:t xml:space="preserve"> 2018 </w:t>
      </w:r>
      <w:proofErr w:type="spellStart"/>
      <w:r w:rsidRPr="00033CFC">
        <w:rPr>
          <w:rFonts w:cstheme="minorHAnsi"/>
          <w:b/>
        </w:rPr>
        <w:t>Feb</w:t>
      </w:r>
      <w:proofErr w:type="spellEnd"/>
      <w:r w:rsidRPr="00033CFC">
        <w:rPr>
          <w:rFonts w:cstheme="minorHAnsi"/>
          <w:b/>
        </w:rPr>
        <w:t xml:space="preserve"> 28. pii: S1470-2045(18)30111-6. </w:t>
      </w:r>
      <w:proofErr w:type="spellStart"/>
      <w:r w:rsidRPr="00033CFC">
        <w:rPr>
          <w:rFonts w:cstheme="minorHAnsi"/>
          <w:b/>
        </w:rPr>
        <w:t>doi</w:t>
      </w:r>
      <w:proofErr w:type="spellEnd"/>
      <w:r w:rsidRPr="00033CFC">
        <w:rPr>
          <w:rFonts w:cstheme="minorHAnsi"/>
          <w:b/>
        </w:rPr>
        <w:t>: 10.1016/S1470-2045(18)30111-6. [</w:t>
      </w:r>
      <w:proofErr w:type="spellStart"/>
      <w:r w:rsidRPr="00033CFC">
        <w:rPr>
          <w:rFonts w:cstheme="minorHAnsi"/>
          <w:b/>
        </w:rPr>
        <w:t>Epub</w:t>
      </w:r>
      <w:proofErr w:type="spellEnd"/>
      <w:r w:rsidRPr="00033CFC">
        <w:rPr>
          <w:rFonts w:cstheme="minorHAnsi"/>
          <w:b/>
        </w:rPr>
        <w:t xml:space="preserve"> </w:t>
      </w:r>
      <w:proofErr w:type="spellStart"/>
      <w:r w:rsidRPr="00033CFC">
        <w:rPr>
          <w:rFonts w:cstheme="minorHAnsi"/>
          <w:b/>
        </w:rPr>
        <w:t>ahead</w:t>
      </w:r>
      <w:proofErr w:type="spellEnd"/>
      <w:r w:rsidRPr="00033CFC">
        <w:rPr>
          <w:rFonts w:cstheme="minorHAnsi"/>
          <w:b/>
        </w:rPr>
        <w:t xml:space="preserve"> of </w:t>
      </w:r>
      <w:proofErr w:type="spellStart"/>
      <w:r w:rsidRPr="00033CFC">
        <w:rPr>
          <w:rFonts w:cstheme="minorHAnsi"/>
          <w:b/>
        </w:rPr>
        <w:t>print</w:t>
      </w:r>
      <w:proofErr w:type="spellEnd"/>
      <w:r w:rsidRPr="00033CFC">
        <w:rPr>
          <w:rFonts w:cstheme="minorHAnsi"/>
          <w:b/>
        </w:rPr>
        <w:t>]</w:t>
      </w:r>
    </w:p>
    <w:p w:rsidR="00527574" w:rsidRDefault="00527574" w:rsidP="00527574">
      <w:pPr>
        <w:autoSpaceDE w:val="0"/>
        <w:autoSpaceDN w:val="0"/>
        <w:adjustRightInd w:val="0"/>
        <w:spacing w:before="240" w:after="0" w:line="240" w:lineRule="auto"/>
        <w:contextualSpacing/>
        <w:jc w:val="both"/>
        <w:rPr>
          <w:rFonts w:cstheme="minorHAnsi"/>
          <w:i/>
          <w:iCs/>
          <w:sz w:val="24"/>
          <w:szCs w:val="24"/>
          <w:lang w:val="en-GB"/>
        </w:rPr>
      </w:pPr>
    </w:p>
    <w:p w:rsidR="00033CFC" w:rsidRDefault="000E6063" w:rsidP="00527574">
      <w:pPr>
        <w:autoSpaceDE w:val="0"/>
        <w:autoSpaceDN w:val="0"/>
        <w:adjustRightInd w:val="0"/>
        <w:spacing w:before="240" w:after="0" w:line="240" w:lineRule="auto"/>
        <w:contextualSpacing/>
        <w:jc w:val="both"/>
        <w:rPr>
          <w:rFonts w:cstheme="minorHAnsi"/>
          <w:b/>
          <w:iCs/>
          <w:lang w:val="en-GB"/>
        </w:rPr>
      </w:pPr>
      <w:proofErr w:type="spellStart"/>
      <w:r>
        <w:rPr>
          <w:rFonts w:cstheme="minorHAnsi"/>
          <w:b/>
          <w:iCs/>
          <w:lang w:val="en-GB"/>
        </w:rPr>
        <w:t>Obiettivo</w:t>
      </w:r>
      <w:proofErr w:type="spellEnd"/>
      <w:r>
        <w:rPr>
          <w:rFonts w:cstheme="minorHAnsi"/>
          <w:b/>
          <w:iCs/>
          <w:lang w:val="en-GB"/>
        </w:rPr>
        <w:t xml:space="preserve"> </w:t>
      </w:r>
      <w:proofErr w:type="spellStart"/>
      <w:r>
        <w:rPr>
          <w:rFonts w:cstheme="minorHAnsi"/>
          <w:b/>
          <w:iCs/>
          <w:lang w:val="en-GB"/>
        </w:rPr>
        <w:t>educazionale</w:t>
      </w:r>
      <w:proofErr w:type="spellEnd"/>
    </w:p>
    <w:p w:rsidR="008B27FD" w:rsidRPr="00033CFC" w:rsidRDefault="008B27FD" w:rsidP="00527574">
      <w:pPr>
        <w:autoSpaceDE w:val="0"/>
        <w:autoSpaceDN w:val="0"/>
        <w:adjustRightInd w:val="0"/>
        <w:spacing w:before="240" w:after="0" w:line="240" w:lineRule="auto"/>
        <w:contextualSpacing/>
        <w:jc w:val="both"/>
        <w:rPr>
          <w:rFonts w:cstheme="minorHAnsi"/>
          <w:b/>
          <w:iCs/>
          <w:lang w:val="en-GB"/>
        </w:rPr>
      </w:pPr>
      <w:r w:rsidRPr="008B27FD">
        <w:rPr>
          <w:rFonts w:cstheme="minorHAnsi"/>
          <w:iCs/>
        </w:rPr>
        <w:t xml:space="preserve">Sebbene diversi studi randomizzati in pazienti con carcinoma mammario triplo negativo abbiano dimostrato che l'aggiunta di </w:t>
      </w:r>
      <w:proofErr w:type="spellStart"/>
      <w:r w:rsidRPr="008B27FD">
        <w:rPr>
          <w:rFonts w:cstheme="minorHAnsi"/>
          <w:iCs/>
        </w:rPr>
        <w:t>car</w:t>
      </w:r>
      <w:r w:rsidR="000E6063">
        <w:rPr>
          <w:rFonts w:cstheme="minorHAnsi"/>
          <w:iCs/>
        </w:rPr>
        <w:t>boplatino</w:t>
      </w:r>
      <w:proofErr w:type="spellEnd"/>
      <w:r w:rsidR="000E6063">
        <w:rPr>
          <w:rFonts w:cstheme="minorHAnsi"/>
          <w:iCs/>
        </w:rPr>
        <w:t>, con o senza</w:t>
      </w:r>
      <w:r w:rsidRPr="008B27FD">
        <w:rPr>
          <w:rFonts w:cstheme="minorHAnsi"/>
          <w:iCs/>
        </w:rPr>
        <w:t xml:space="preserve"> </w:t>
      </w:r>
      <w:r w:rsidR="000E6063">
        <w:rPr>
          <w:rFonts w:cstheme="minorHAnsi"/>
          <w:iCs/>
        </w:rPr>
        <w:t xml:space="preserve">inibitori delle polimerasi </w:t>
      </w:r>
      <w:r w:rsidRPr="008B27FD">
        <w:rPr>
          <w:rFonts w:cstheme="minorHAnsi"/>
          <w:iCs/>
        </w:rPr>
        <w:t>(PARP), alla chemioterapia neo</w:t>
      </w:r>
      <w:r w:rsidR="000E6063">
        <w:rPr>
          <w:rFonts w:cstheme="minorHAnsi"/>
          <w:iCs/>
        </w:rPr>
        <w:t>-</w:t>
      </w:r>
      <w:r w:rsidRPr="008B27FD">
        <w:rPr>
          <w:rFonts w:cstheme="minorHAnsi"/>
          <w:iCs/>
        </w:rPr>
        <w:t>adiuvante aumenta la probabilità di ottenere una risposta patologica completa, l'uso di queste terapie in questo contesto è rimasta controversa</w:t>
      </w:r>
      <w:r w:rsidR="000E6063">
        <w:rPr>
          <w:rFonts w:cstheme="minorHAnsi"/>
          <w:iCs/>
        </w:rPr>
        <w:t>.</w:t>
      </w:r>
    </w:p>
    <w:p w:rsidR="008B27FD" w:rsidRDefault="00527574" w:rsidP="00527574">
      <w:pPr>
        <w:autoSpaceDE w:val="0"/>
        <w:autoSpaceDN w:val="0"/>
        <w:adjustRightInd w:val="0"/>
        <w:spacing w:before="240" w:after="0" w:line="240" w:lineRule="auto"/>
        <w:contextualSpacing/>
        <w:jc w:val="both"/>
        <w:rPr>
          <w:rFonts w:cstheme="minorHAnsi"/>
          <w:iCs/>
        </w:rPr>
      </w:pPr>
      <w:r w:rsidRPr="003F53E4">
        <w:rPr>
          <w:rFonts w:cstheme="minorHAnsi"/>
          <w:iCs/>
        </w:rPr>
        <w:t xml:space="preserve">Lo studio </w:t>
      </w:r>
      <w:proofErr w:type="spellStart"/>
      <w:r w:rsidRPr="003F53E4">
        <w:rPr>
          <w:rFonts w:cstheme="minorHAnsi"/>
          <w:iCs/>
        </w:rPr>
        <w:t>BrighTNess</w:t>
      </w:r>
      <w:proofErr w:type="spellEnd"/>
      <w:r w:rsidRPr="003F53E4">
        <w:rPr>
          <w:rFonts w:cstheme="minorHAnsi"/>
          <w:iCs/>
        </w:rPr>
        <w:t xml:space="preserve">, multicentrico randomizzato di fase 3, a doppio cieco </w:t>
      </w:r>
      <w:r w:rsidR="008B27FD">
        <w:rPr>
          <w:rFonts w:cstheme="minorHAnsi"/>
          <w:iCs/>
        </w:rPr>
        <w:t>e</w:t>
      </w:r>
      <w:r w:rsidRPr="003F53E4">
        <w:rPr>
          <w:rFonts w:cstheme="minorHAnsi"/>
          <w:iCs/>
        </w:rPr>
        <w:t xml:space="preserve"> con gruppo di controllo (2:1:1), si propone di stabilire l’effettivo ruolo in assetto </w:t>
      </w:r>
      <w:proofErr w:type="spellStart"/>
      <w:r w:rsidRPr="003F53E4">
        <w:rPr>
          <w:rFonts w:cstheme="minorHAnsi"/>
          <w:iCs/>
        </w:rPr>
        <w:t>neoadiuvante</w:t>
      </w:r>
      <w:proofErr w:type="spellEnd"/>
      <w:r w:rsidRPr="003F53E4">
        <w:rPr>
          <w:rFonts w:cstheme="minorHAnsi"/>
          <w:iCs/>
        </w:rPr>
        <w:t xml:space="preserve"> del </w:t>
      </w:r>
      <w:proofErr w:type="spellStart"/>
      <w:r w:rsidRPr="003F53E4">
        <w:rPr>
          <w:rFonts w:cstheme="minorHAnsi"/>
          <w:iCs/>
        </w:rPr>
        <w:t>Veliparib</w:t>
      </w:r>
      <w:proofErr w:type="spellEnd"/>
      <w:r w:rsidRPr="003F53E4">
        <w:rPr>
          <w:rFonts w:cstheme="minorHAnsi"/>
          <w:iCs/>
        </w:rPr>
        <w:t xml:space="preserve"> (</w:t>
      </w:r>
      <w:proofErr w:type="spellStart"/>
      <w:r w:rsidRPr="003F53E4">
        <w:rPr>
          <w:rFonts w:cstheme="minorHAnsi"/>
          <w:iCs/>
        </w:rPr>
        <w:t>Parp</w:t>
      </w:r>
      <w:proofErr w:type="spellEnd"/>
      <w:r w:rsidRPr="003F53E4">
        <w:rPr>
          <w:rFonts w:cstheme="minorHAnsi"/>
          <w:iCs/>
        </w:rPr>
        <w:t xml:space="preserve"> inibitore) nelle pazienti di età &gt;18 anni e una storia di tumore mammario triple negative stadio II-III. Le pazienti sono state randomizzate a ricevere: </w:t>
      </w:r>
      <w:r w:rsidR="008B27FD">
        <w:rPr>
          <w:rFonts w:cstheme="minorHAnsi"/>
          <w:iCs/>
        </w:rPr>
        <w:t xml:space="preserve"> gruppo 1: </w:t>
      </w:r>
      <w:proofErr w:type="spellStart"/>
      <w:r w:rsidR="008B27FD">
        <w:rPr>
          <w:rFonts w:cstheme="minorHAnsi"/>
          <w:iCs/>
        </w:rPr>
        <w:t>paclitaxel</w:t>
      </w:r>
      <w:proofErr w:type="spellEnd"/>
      <w:r w:rsidR="008B27FD">
        <w:rPr>
          <w:rFonts w:cstheme="minorHAnsi"/>
          <w:iCs/>
        </w:rPr>
        <w:t xml:space="preserve"> (80 mg/mq</w:t>
      </w:r>
      <w:r w:rsidR="008B27FD" w:rsidRPr="008B27FD">
        <w:rPr>
          <w:rFonts w:cstheme="minorHAnsi"/>
          <w:iCs/>
        </w:rPr>
        <w:t xml:space="preserve"> </w:t>
      </w:r>
      <w:proofErr w:type="spellStart"/>
      <w:r w:rsidR="008B27FD">
        <w:rPr>
          <w:rFonts w:cstheme="minorHAnsi"/>
          <w:iCs/>
        </w:rPr>
        <w:t>ev</w:t>
      </w:r>
      <w:proofErr w:type="spellEnd"/>
      <w:r w:rsidR="008B27FD">
        <w:rPr>
          <w:rFonts w:cstheme="minorHAnsi"/>
          <w:iCs/>
        </w:rPr>
        <w:t>/</w:t>
      </w:r>
      <w:r w:rsidR="009B2A7F">
        <w:rPr>
          <w:rFonts w:cstheme="minorHAnsi"/>
          <w:iCs/>
        </w:rPr>
        <w:t>settimanale per 12 dosi) +</w:t>
      </w:r>
      <w:r w:rsidR="008B27FD" w:rsidRPr="008B27FD">
        <w:rPr>
          <w:rFonts w:cstheme="minorHAnsi"/>
          <w:iCs/>
        </w:rPr>
        <w:t xml:space="preserve"> </w:t>
      </w:r>
      <w:proofErr w:type="spellStart"/>
      <w:r w:rsidR="008B27FD" w:rsidRPr="008B27FD">
        <w:rPr>
          <w:rFonts w:cstheme="minorHAnsi"/>
          <w:iCs/>
        </w:rPr>
        <w:t>carboplatino</w:t>
      </w:r>
      <w:proofErr w:type="spellEnd"/>
      <w:r w:rsidR="008B27FD" w:rsidRPr="008B27FD">
        <w:rPr>
          <w:rFonts w:cstheme="minorHAnsi"/>
          <w:iCs/>
        </w:rPr>
        <w:t xml:space="preserve"> (</w:t>
      </w:r>
      <w:r w:rsidR="008B27FD">
        <w:rPr>
          <w:rFonts w:cstheme="minorHAnsi"/>
          <w:iCs/>
        </w:rPr>
        <w:t>AUC</w:t>
      </w:r>
      <w:r w:rsidR="008B27FD" w:rsidRPr="008B27FD">
        <w:rPr>
          <w:rFonts w:cstheme="minorHAnsi"/>
          <w:iCs/>
        </w:rPr>
        <w:t xml:space="preserve"> 6</w:t>
      </w:r>
      <w:r w:rsidR="008B27FD">
        <w:rPr>
          <w:rFonts w:cstheme="minorHAnsi"/>
          <w:iCs/>
        </w:rPr>
        <w:t xml:space="preserve"> mg/</w:t>
      </w:r>
      <w:proofErr w:type="spellStart"/>
      <w:r w:rsidR="008B27FD">
        <w:rPr>
          <w:rFonts w:cstheme="minorHAnsi"/>
          <w:iCs/>
        </w:rPr>
        <w:t>mL</w:t>
      </w:r>
      <w:proofErr w:type="spellEnd"/>
      <w:r w:rsidR="008B27FD">
        <w:rPr>
          <w:rFonts w:cstheme="minorHAnsi"/>
          <w:iCs/>
        </w:rPr>
        <w:t xml:space="preserve"> </w:t>
      </w:r>
      <w:proofErr w:type="spellStart"/>
      <w:r w:rsidR="008B27FD">
        <w:rPr>
          <w:rFonts w:cstheme="minorHAnsi"/>
          <w:iCs/>
        </w:rPr>
        <w:t>ev</w:t>
      </w:r>
      <w:proofErr w:type="spellEnd"/>
      <w:r w:rsidR="008B27FD" w:rsidRPr="008B27FD">
        <w:rPr>
          <w:rFonts w:cstheme="minorHAnsi"/>
          <w:iCs/>
        </w:rPr>
        <w:t xml:space="preserve"> ogni 3 s</w:t>
      </w:r>
      <w:r w:rsidR="008B27FD">
        <w:rPr>
          <w:rFonts w:cstheme="minorHAnsi"/>
          <w:iCs/>
        </w:rPr>
        <w:t>ettimane, per quattro cicli) +</w:t>
      </w:r>
      <w:r w:rsidR="008B27FD" w:rsidRPr="008B27FD">
        <w:rPr>
          <w:rFonts w:cstheme="minorHAnsi"/>
          <w:iCs/>
        </w:rPr>
        <w:t xml:space="preserve"> </w:t>
      </w:r>
      <w:proofErr w:type="spellStart"/>
      <w:r w:rsidR="008B27FD" w:rsidRPr="008B27FD">
        <w:rPr>
          <w:rFonts w:cstheme="minorHAnsi"/>
          <w:iCs/>
        </w:rPr>
        <w:t>veliparib</w:t>
      </w:r>
      <w:proofErr w:type="spellEnd"/>
      <w:r w:rsidR="008B27FD" w:rsidRPr="008B27FD">
        <w:rPr>
          <w:rFonts w:cstheme="minorHAnsi"/>
          <w:iCs/>
        </w:rPr>
        <w:t xml:space="preserve"> (50 mg per via orale, due volte al giorno);</w:t>
      </w:r>
      <w:r w:rsidR="009B2A7F">
        <w:rPr>
          <w:rFonts w:cstheme="minorHAnsi"/>
          <w:iCs/>
        </w:rPr>
        <w:t xml:space="preserve"> gruppo </w:t>
      </w:r>
      <w:r w:rsidR="009B2A7F">
        <w:rPr>
          <w:rFonts w:cstheme="minorHAnsi"/>
          <w:iCs/>
        </w:rPr>
        <w:lastRenderedPageBreak/>
        <w:t xml:space="preserve">2: stesse dosi di </w:t>
      </w:r>
      <w:proofErr w:type="spellStart"/>
      <w:r w:rsidR="008B27FD" w:rsidRPr="008B27FD">
        <w:rPr>
          <w:rFonts w:cstheme="minorHAnsi"/>
          <w:iCs/>
        </w:rPr>
        <w:t>paclitaxel</w:t>
      </w:r>
      <w:proofErr w:type="spellEnd"/>
      <w:r w:rsidR="009B2A7F">
        <w:rPr>
          <w:rFonts w:cstheme="minorHAnsi"/>
          <w:iCs/>
        </w:rPr>
        <w:t xml:space="preserve"> + </w:t>
      </w:r>
      <w:proofErr w:type="spellStart"/>
      <w:r w:rsidR="009B2A7F">
        <w:rPr>
          <w:rFonts w:cstheme="minorHAnsi"/>
          <w:iCs/>
        </w:rPr>
        <w:t>carboplatino</w:t>
      </w:r>
      <w:proofErr w:type="spellEnd"/>
      <w:r w:rsidR="009B2A7F">
        <w:rPr>
          <w:rFonts w:cstheme="minorHAnsi"/>
          <w:iCs/>
        </w:rPr>
        <w:t xml:space="preserve"> + </w:t>
      </w:r>
      <w:proofErr w:type="spellStart"/>
      <w:r w:rsidR="009B2A7F">
        <w:rPr>
          <w:rFonts w:cstheme="minorHAnsi"/>
          <w:iCs/>
        </w:rPr>
        <w:t>veliparib</w:t>
      </w:r>
      <w:proofErr w:type="spellEnd"/>
      <w:r w:rsidR="009B2A7F">
        <w:rPr>
          <w:rFonts w:cstheme="minorHAnsi"/>
          <w:iCs/>
        </w:rPr>
        <w:t xml:space="preserve">-placebo (due volte al giorno); gruppo 3: stessa dose di </w:t>
      </w:r>
      <w:proofErr w:type="spellStart"/>
      <w:r w:rsidR="009B2A7F">
        <w:rPr>
          <w:rFonts w:cstheme="minorHAnsi"/>
          <w:iCs/>
        </w:rPr>
        <w:t>paclitaxel</w:t>
      </w:r>
      <w:proofErr w:type="spellEnd"/>
      <w:r w:rsidR="009B2A7F">
        <w:rPr>
          <w:rFonts w:cstheme="minorHAnsi"/>
          <w:iCs/>
        </w:rPr>
        <w:t xml:space="preserve"> + </w:t>
      </w:r>
      <w:proofErr w:type="spellStart"/>
      <w:r w:rsidR="009B2A7F">
        <w:rPr>
          <w:rFonts w:cstheme="minorHAnsi"/>
          <w:iCs/>
        </w:rPr>
        <w:t>carboplatino</w:t>
      </w:r>
      <w:proofErr w:type="spellEnd"/>
      <w:r w:rsidR="009B2A7F">
        <w:rPr>
          <w:rFonts w:cstheme="minorHAnsi"/>
          <w:iCs/>
        </w:rPr>
        <w:t>-</w:t>
      </w:r>
      <w:r w:rsidR="008B27FD" w:rsidRPr="008B27FD">
        <w:rPr>
          <w:rFonts w:cstheme="minorHAnsi"/>
          <w:iCs/>
        </w:rPr>
        <w:t>placebo (ogni 3 s</w:t>
      </w:r>
      <w:r w:rsidR="009B2A7F">
        <w:rPr>
          <w:rFonts w:cstheme="minorHAnsi"/>
          <w:iCs/>
        </w:rPr>
        <w:t xml:space="preserve">ettimane per quattro cicli) + </w:t>
      </w:r>
      <w:proofErr w:type="spellStart"/>
      <w:r w:rsidR="009B2A7F">
        <w:rPr>
          <w:rFonts w:cstheme="minorHAnsi"/>
          <w:iCs/>
        </w:rPr>
        <w:t>veliparib</w:t>
      </w:r>
      <w:proofErr w:type="spellEnd"/>
      <w:r w:rsidR="009B2A7F">
        <w:rPr>
          <w:rFonts w:cstheme="minorHAnsi"/>
          <w:iCs/>
        </w:rPr>
        <w:t>-</w:t>
      </w:r>
      <w:r w:rsidR="008B27FD" w:rsidRPr="008B27FD">
        <w:rPr>
          <w:rFonts w:cstheme="minorHAnsi"/>
          <w:iCs/>
        </w:rPr>
        <w:t>placebo</w:t>
      </w:r>
    </w:p>
    <w:p w:rsidR="00527574" w:rsidRDefault="00527574" w:rsidP="00527574">
      <w:pPr>
        <w:autoSpaceDE w:val="0"/>
        <w:autoSpaceDN w:val="0"/>
        <w:adjustRightInd w:val="0"/>
        <w:spacing w:before="240" w:after="0" w:line="240" w:lineRule="auto"/>
        <w:contextualSpacing/>
        <w:jc w:val="both"/>
        <w:rPr>
          <w:rFonts w:cstheme="minorHAnsi"/>
          <w:iCs/>
        </w:rPr>
      </w:pPr>
      <w:r w:rsidRPr="003F53E4">
        <w:rPr>
          <w:rFonts w:cstheme="minorHAnsi"/>
          <w:iCs/>
        </w:rPr>
        <w:t xml:space="preserve">Tutti i gruppi hanno successivamente ricevuto il trattamento con </w:t>
      </w:r>
      <w:proofErr w:type="spellStart"/>
      <w:r w:rsidRPr="003F53E4">
        <w:rPr>
          <w:rFonts w:cstheme="minorHAnsi"/>
          <w:iCs/>
        </w:rPr>
        <w:t>doxorubicina</w:t>
      </w:r>
      <w:proofErr w:type="spellEnd"/>
      <w:r w:rsidRPr="003F53E4">
        <w:rPr>
          <w:rFonts w:cstheme="minorHAnsi"/>
          <w:iCs/>
        </w:rPr>
        <w:t xml:space="preserve"> 60 mg/mq e </w:t>
      </w:r>
      <w:proofErr w:type="spellStart"/>
      <w:r w:rsidRPr="003F53E4">
        <w:rPr>
          <w:rFonts w:cstheme="minorHAnsi"/>
          <w:iCs/>
        </w:rPr>
        <w:t>ciclofosfamide</w:t>
      </w:r>
      <w:proofErr w:type="spellEnd"/>
      <w:r w:rsidRPr="003F53E4">
        <w:rPr>
          <w:rFonts w:cstheme="minorHAnsi"/>
          <w:iCs/>
        </w:rPr>
        <w:t xml:space="preserve"> 600 mg/mq ogni due o tre settimane per 4 cicli.</w:t>
      </w:r>
    </w:p>
    <w:p w:rsidR="009B2A7F" w:rsidRDefault="009B2A7F" w:rsidP="00527574">
      <w:pPr>
        <w:autoSpaceDE w:val="0"/>
        <w:autoSpaceDN w:val="0"/>
        <w:adjustRightInd w:val="0"/>
        <w:spacing w:before="240" w:after="0" w:line="240" w:lineRule="auto"/>
        <w:contextualSpacing/>
        <w:jc w:val="both"/>
        <w:rPr>
          <w:rFonts w:cstheme="minorHAnsi"/>
          <w:iCs/>
        </w:rPr>
      </w:pPr>
      <w:r w:rsidRPr="008B27FD">
        <w:rPr>
          <w:rFonts w:cstheme="minorHAnsi"/>
          <w:iCs/>
        </w:rPr>
        <w:t xml:space="preserve">La randomizzazione per </w:t>
      </w:r>
      <w:r>
        <w:rPr>
          <w:rFonts w:cstheme="minorHAnsi"/>
          <w:iCs/>
        </w:rPr>
        <w:t>la prima parte del trattamento neo</w:t>
      </w:r>
      <w:r w:rsidR="000E6063">
        <w:rPr>
          <w:rFonts w:cstheme="minorHAnsi"/>
          <w:iCs/>
        </w:rPr>
        <w:t>-</w:t>
      </w:r>
      <w:r>
        <w:rPr>
          <w:rFonts w:cstheme="minorHAnsi"/>
          <w:iCs/>
        </w:rPr>
        <w:t xml:space="preserve">adiuvante </w:t>
      </w:r>
      <w:r w:rsidRPr="008B27FD">
        <w:rPr>
          <w:rFonts w:cstheme="minorHAnsi"/>
          <w:iCs/>
        </w:rPr>
        <w:t xml:space="preserve">è stata stratificata </w:t>
      </w:r>
      <w:r>
        <w:rPr>
          <w:rFonts w:cstheme="minorHAnsi"/>
          <w:iCs/>
        </w:rPr>
        <w:t xml:space="preserve">in base </w:t>
      </w:r>
      <w:r w:rsidRPr="008B27FD">
        <w:rPr>
          <w:rFonts w:cstheme="minorHAnsi"/>
          <w:iCs/>
        </w:rPr>
        <w:t xml:space="preserve">allo stato di mutazione </w:t>
      </w:r>
      <w:r>
        <w:rPr>
          <w:rFonts w:cstheme="minorHAnsi"/>
          <w:iCs/>
        </w:rPr>
        <w:t>di BRCA , allo stato</w:t>
      </w:r>
      <w:r w:rsidRPr="008B27FD">
        <w:rPr>
          <w:rFonts w:cstheme="minorHAnsi"/>
          <w:iCs/>
        </w:rPr>
        <w:t xml:space="preserve"> </w:t>
      </w:r>
      <w:r>
        <w:rPr>
          <w:rFonts w:cstheme="minorHAnsi"/>
          <w:iCs/>
        </w:rPr>
        <w:t xml:space="preserve">linfonodale e </w:t>
      </w:r>
      <w:r w:rsidRPr="008B27FD">
        <w:rPr>
          <w:rFonts w:cstheme="minorHAnsi"/>
          <w:iCs/>
        </w:rPr>
        <w:t xml:space="preserve">allo schema pianificato di somministrazione di </w:t>
      </w:r>
      <w:proofErr w:type="spellStart"/>
      <w:r w:rsidRPr="008B27FD">
        <w:rPr>
          <w:rFonts w:cstheme="minorHAnsi"/>
          <w:iCs/>
        </w:rPr>
        <w:t>doxorubicina</w:t>
      </w:r>
      <w:proofErr w:type="spellEnd"/>
      <w:r w:rsidRPr="008B27FD">
        <w:rPr>
          <w:rFonts w:cstheme="minorHAnsi"/>
          <w:iCs/>
        </w:rPr>
        <w:t xml:space="preserve"> e </w:t>
      </w:r>
      <w:proofErr w:type="spellStart"/>
      <w:r w:rsidRPr="008B27FD">
        <w:rPr>
          <w:rFonts w:cstheme="minorHAnsi"/>
          <w:iCs/>
        </w:rPr>
        <w:t>ciclofosfamide</w:t>
      </w:r>
      <w:proofErr w:type="spellEnd"/>
      <w:r>
        <w:rPr>
          <w:rFonts w:cstheme="minorHAnsi"/>
          <w:iCs/>
        </w:rPr>
        <w:t xml:space="preserve"> (dose-dense (q14) o standard (q21)</w:t>
      </w:r>
      <w:r w:rsidRPr="008B27FD">
        <w:rPr>
          <w:rFonts w:cstheme="minorHAnsi"/>
          <w:iCs/>
        </w:rPr>
        <w:t>.</w:t>
      </w:r>
    </w:p>
    <w:p w:rsidR="00033CFC" w:rsidRDefault="00033CFC" w:rsidP="00527574">
      <w:pPr>
        <w:autoSpaceDE w:val="0"/>
        <w:autoSpaceDN w:val="0"/>
        <w:adjustRightInd w:val="0"/>
        <w:spacing w:before="240" w:after="0" w:line="240" w:lineRule="auto"/>
        <w:contextualSpacing/>
        <w:jc w:val="both"/>
        <w:rPr>
          <w:rFonts w:cstheme="minorHAnsi"/>
          <w:iCs/>
        </w:rPr>
      </w:pPr>
    </w:p>
    <w:p w:rsidR="00033CFC" w:rsidRPr="00033CFC" w:rsidRDefault="00033CFC" w:rsidP="00527574">
      <w:pPr>
        <w:autoSpaceDE w:val="0"/>
        <w:autoSpaceDN w:val="0"/>
        <w:adjustRightInd w:val="0"/>
        <w:spacing w:before="240" w:after="0" w:line="240" w:lineRule="auto"/>
        <w:contextualSpacing/>
        <w:jc w:val="both"/>
        <w:rPr>
          <w:rFonts w:cstheme="minorHAnsi"/>
          <w:b/>
          <w:iCs/>
        </w:rPr>
      </w:pPr>
      <w:r w:rsidRPr="00033CFC">
        <w:rPr>
          <w:rFonts w:cstheme="minorHAnsi"/>
          <w:b/>
          <w:iCs/>
        </w:rPr>
        <w:t>Principali risultati</w:t>
      </w:r>
    </w:p>
    <w:p w:rsidR="0060288A" w:rsidRDefault="009B2A7F" w:rsidP="00527574">
      <w:pPr>
        <w:autoSpaceDE w:val="0"/>
        <w:autoSpaceDN w:val="0"/>
        <w:adjustRightInd w:val="0"/>
        <w:spacing w:after="0" w:line="240" w:lineRule="auto"/>
        <w:contextualSpacing/>
        <w:rPr>
          <w:rFonts w:cstheme="minorHAnsi"/>
          <w:iCs/>
        </w:rPr>
      </w:pPr>
      <w:r>
        <w:rPr>
          <w:rFonts w:cstheme="minorHAnsi"/>
          <w:iCs/>
        </w:rPr>
        <w:t xml:space="preserve">Sono state </w:t>
      </w:r>
      <w:r w:rsidR="00527574" w:rsidRPr="003F53E4">
        <w:rPr>
          <w:rFonts w:cstheme="minorHAnsi"/>
          <w:iCs/>
        </w:rPr>
        <w:t xml:space="preserve">634 arruolate </w:t>
      </w:r>
      <w:r>
        <w:rPr>
          <w:rFonts w:cstheme="minorHAnsi"/>
          <w:iCs/>
        </w:rPr>
        <w:t>634 pazienti</w:t>
      </w:r>
      <w:r w:rsidRPr="008B27FD">
        <w:rPr>
          <w:rFonts w:cstheme="minorHAnsi"/>
          <w:iCs/>
        </w:rPr>
        <w:t xml:space="preserve">: 316 a </w:t>
      </w:r>
      <w:proofErr w:type="spellStart"/>
      <w:r w:rsidRPr="008B27FD">
        <w:rPr>
          <w:rFonts w:cstheme="minorHAnsi"/>
          <w:iCs/>
        </w:rPr>
        <w:t>paclitaxel</w:t>
      </w:r>
      <w:proofErr w:type="spellEnd"/>
      <w:r w:rsidRPr="008B27FD">
        <w:rPr>
          <w:rFonts w:cstheme="minorHAnsi"/>
          <w:iCs/>
        </w:rPr>
        <w:t xml:space="preserve"> più </w:t>
      </w:r>
      <w:proofErr w:type="spellStart"/>
      <w:r w:rsidRPr="008B27FD">
        <w:rPr>
          <w:rFonts w:cstheme="minorHAnsi"/>
          <w:iCs/>
        </w:rPr>
        <w:t>carboplatino</w:t>
      </w:r>
      <w:proofErr w:type="spellEnd"/>
      <w:r w:rsidRPr="008B27FD">
        <w:rPr>
          <w:rFonts w:cstheme="minorHAnsi"/>
          <w:iCs/>
        </w:rPr>
        <w:t xml:space="preserve"> più </w:t>
      </w:r>
      <w:proofErr w:type="spellStart"/>
      <w:r w:rsidRPr="008B27FD">
        <w:rPr>
          <w:rFonts w:cstheme="minorHAnsi"/>
          <w:iCs/>
        </w:rPr>
        <w:t>veliparib</w:t>
      </w:r>
      <w:proofErr w:type="spellEnd"/>
      <w:r w:rsidRPr="008B27FD">
        <w:rPr>
          <w:rFonts w:cstheme="minorHAnsi"/>
          <w:iCs/>
        </w:rPr>
        <w:t xml:space="preserve">, 160 a </w:t>
      </w:r>
      <w:proofErr w:type="spellStart"/>
      <w:r w:rsidRPr="008B27FD">
        <w:rPr>
          <w:rFonts w:cstheme="minorHAnsi"/>
          <w:iCs/>
        </w:rPr>
        <w:t>paclitaxel</w:t>
      </w:r>
      <w:proofErr w:type="spellEnd"/>
      <w:r w:rsidRPr="008B27FD">
        <w:rPr>
          <w:rFonts w:cstheme="minorHAnsi"/>
          <w:iCs/>
        </w:rPr>
        <w:t xml:space="preserve"> più </w:t>
      </w:r>
      <w:proofErr w:type="spellStart"/>
      <w:r w:rsidRPr="008B27FD">
        <w:rPr>
          <w:rFonts w:cstheme="minorHAnsi"/>
          <w:iCs/>
        </w:rPr>
        <w:t>carboplatino</w:t>
      </w:r>
      <w:proofErr w:type="spellEnd"/>
      <w:r w:rsidRPr="008B27FD">
        <w:rPr>
          <w:rFonts w:cstheme="minorHAnsi"/>
          <w:iCs/>
        </w:rPr>
        <w:t xml:space="preserve"> e 158 a </w:t>
      </w:r>
      <w:proofErr w:type="spellStart"/>
      <w:r w:rsidRPr="008B27FD">
        <w:rPr>
          <w:rFonts w:cstheme="minorHAnsi"/>
          <w:iCs/>
        </w:rPr>
        <w:t>paclitaxel</w:t>
      </w:r>
      <w:proofErr w:type="spellEnd"/>
      <w:r w:rsidRPr="008B27FD">
        <w:rPr>
          <w:rFonts w:cstheme="minorHAnsi"/>
          <w:iCs/>
        </w:rPr>
        <w:t xml:space="preserve"> da solo. </w:t>
      </w:r>
    </w:p>
    <w:p w:rsidR="0060288A" w:rsidRDefault="0060288A" w:rsidP="00527574">
      <w:pPr>
        <w:autoSpaceDE w:val="0"/>
        <w:autoSpaceDN w:val="0"/>
        <w:adjustRightInd w:val="0"/>
        <w:spacing w:after="0" w:line="240" w:lineRule="auto"/>
        <w:contextualSpacing/>
        <w:rPr>
          <w:rFonts w:cstheme="minorHAnsi"/>
          <w:iCs/>
        </w:rPr>
      </w:pPr>
      <w:r w:rsidRPr="003F53E4">
        <w:rPr>
          <w:rFonts w:cstheme="minorHAnsi"/>
          <w:iCs/>
        </w:rPr>
        <w:t>Complessivamente 309 (49%) hanno ottenuto una risposta patologica completa.</w:t>
      </w:r>
    </w:p>
    <w:p w:rsidR="00033CFC" w:rsidRDefault="00527574" w:rsidP="00527574">
      <w:pPr>
        <w:autoSpaceDE w:val="0"/>
        <w:autoSpaceDN w:val="0"/>
        <w:adjustRightInd w:val="0"/>
        <w:spacing w:after="0" w:line="240" w:lineRule="auto"/>
        <w:contextualSpacing/>
        <w:rPr>
          <w:rFonts w:cstheme="minorHAnsi"/>
          <w:iCs/>
        </w:rPr>
      </w:pPr>
      <w:r w:rsidRPr="003F53E4">
        <w:rPr>
          <w:rFonts w:cstheme="minorHAnsi"/>
          <w:iCs/>
        </w:rPr>
        <w:t xml:space="preserve">La proporzione di pazienti che ha raggiunto una risposta patologica completa era significativamente più alta nelle pazienti che ricevevano </w:t>
      </w:r>
      <w:proofErr w:type="spellStart"/>
      <w:r w:rsidRPr="003F53E4">
        <w:rPr>
          <w:rFonts w:cstheme="minorHAnsi"/>
          <w:iCs/>
        </w:rPr>
        <w:t>paclitaxel</w:t>
      </w:r>
      <w:proofErr w:type="spellEnd"/>
      <w:r w:rsidRPr="003F53E4">
        <w:rPr>
          <w:rFonts w:cstheme="minorHAnsi"/>
          <w:iCs/>
        </w:rPr>
        <w:t xml:space="preserve">, </w:t>
      </w:r>
      <w:proofErr w:type="spellStart"/>
      <w:r w:rsidRPr="003F53E4">
        <w:rPr>
          <w:rFonts w:cstheme="minorHAnsi"/>
          <w:iCs/>
        </w:rPr>
        <w:t>carboplatino</w:t>
      </w:r>
      <w:proofErr w:type="spellEnd"/>
      <w:r w:rsidRPr="003F53E4">
        <w:rPr>
          <w:rFonts w:cstheme="minorHAnsi"/>
          <w:iCs/>
        </w:rPr>
        <w:t xml:space="preserve"> e </w:t>
      </w:r>
      <w:proofErr w:type="spellStart"/>
      <w:r w:rsidRPr="003F53E4">
        <w:rPr>
          <w:rFonts w:cstheme="minorHAnsi"/>
          <w:iCs/>
        </w:rPr>
        <w:t>veliparib</w:t>
      </w:r>
      <w:proofErr w:type="spellEnd"/>
      <w:r w:rsidRPr="003F53E4">
        <w:rPr>
          <w:rFonts w:cstheme="minorHAnsi"/>
          <w:iCs/>
        </w:rPr>
        <w:t xml:space="preserve"> seguiti da </w:t>
      </w:r>
      <w:proofErr w:type="spellStart"/>
      <w:r w:rsidRPr="003F53E4">
        <w:rPr>
          <w:rFonts w:cstheme="minorHAnsi"/>
          <w:iCs/>
        </w:rPr>
        <w:t>doxorubicina</w:t>
      </w:r>
      <w:proofErr w:type="spellEnd"/>
      <w:r w:rsidRPr="003F53E4">
        <w:rPr>
          <w:rFonts w:cstheme="minorHAnsi"/>
          <w:iCs/>
        </w:rPr>
        <w:t xml:space="preserve"> e </w:t>
      </w:r>
      <w:proofErr w:type="spellStart"/>
      <w:r w:rsidRPr="003F53E4">
        <w:rPr>
          <w:rFonts w:cstheme="minorHAnsi"/>
          <w:iCs/>
        </w:rPr>
        <w:t>ciclofosfamide</w:t>
      </w:r>
      <w:proofErr w:type="spellEnd"/>
      <w:r w:rsidRPr="003F53E4">
        <w:rPr>
          <w:rFonts w:cstheme="minorHAnsi"/>
          <w:iCs/>
        </w:rPr>
        <w:t xml:space="preserve"> rispetto al gruppo che ha ricevuto solo </w:t>
      </w:r>
      <w:proofErr w:type="spellStart"/>
      <w:r w:rsidRPr="003F53E4">
        <w:rPr>
          <w:rFonts w:cstheme="minorHAnsi"/>
          <w:iCs/>
        </w:rPr>
        <w:t>paclitaxel</w:t>
      </w:r>
      <w:proofErr w:type="spellEnd"/>
      <w:r w:rsidRPr="003F53E4">
        <w:rPr>
          <w:rFonts w:cstheme="minorHAnsi"/>
          <w:iCs/>
        </w:rPr>
        <w:t xml:space="preserve"> (53% vs 31%, p &lt; 0.0001). La frequenza di risposta patologica completa non variava nei gruppi di pazienti che ricevevano </w:t>
      </w:r>
      <w:proofErr w:type="spellStart"/>
      <w:r w:rsidRPr="003F53E4">
        <w:rPr>
          <w:rFonts w:cstheme="minorHAnsi"/>
          <w:iCs/>
        </w:rPr>
        <w:t>paclitaxel</w:t>
      </w:r>
      <w:proofErr w:type="spellEnd"/>
      <w:r w:rsidRPr="003F53E4">
        <w:rPr>
          <w:rFonts w:cstheme="minorHAnsi"/>
          <w:iCs/>
        </w:rPr>
        <w:t xml:space="preserve">, </w:t>
      </w:r>
      <w:proofErr w:type="spellStart"/>
      <w:r w:rsidRPr="003F53E4">
        <w:rPr>
          <w:rFonts w:cstheme="minorHAnsi"/>
          <w:iCs/>
        </w:rPr>
        <w:t>carboplatino</w:t>
      </w:r>
      <w:proofErr w:type="spellEnd"/>
      <w:r w:rsidRPr="003F53E4">
        <w:rPr>
          <w:rFonts w:cstheme="minorHAnsi"/>
          <w:iCs/>
        </w:rPr>
        <w:t xml:space="preserve"> e </w:t>
      </w:r>
      <w:proofErr w:type="spellStart"/>
      <w:r w:rsidRPr="003F53E4">
        <w:rPr>
          <w:rFonts w:cstheme="minorHAnsi"/>
          <w:iCs/>
        </w:rPr>
        <w:t>veliparib</w:t>
      </w:r>
      <w:proofErr w:type="spellEnd"/>
      <w:r w:rsidRPr="003F53E4">
        <w:rPr>
          <w:rFonts w:cstheme="minorHAnsi"/>
          <w:iCs/>
        </w:rPr>
        <w:t xml:space="preserve"> rispetto al gruppo </w:t>
      </w:r>
      <w:proofErr w:type="spellStart"/>
      <w:r w:rsidRPr="003F53E4">
        <w:rPr>
          <w:rFonts w:cstheme="minorHAnsi"/>
          <w:iCs/>
        </w:rPr>
        <w:t>paclitaxel</w:t>
      </w:r>
      <w:proofErr w:type="spellEnd"/>
      <w:r w:rsidRPr="003F53E4">
        <w:rPr>
          <w:rFonts w:cstheme="minorHAnsi"/>
          <w:iCs/>
        </w:rPr>
        <w:t xml:space="preserve"> e </w:t>
      </w:r>
      <w:proofErr w:type="spellStart"/>
      <w:r w:rsidRPr="003F53E4">
        <w:rPr>
          <w:rFonts w:cstheme="minorHAnsi"/>
          <w:iCs/>
        </w:rPr>
        <w:t>carboplatino</w:t>
      </w:r>
      <w:proofErr w:type="spellEnd"/>
      <w:r w:rsidRPr="003F53E4">
        <w:rPr>
          <w:rFonts w:cstheme="minorHAnsi"/>
          <w:iCs/>
        </w:rPr>
        <w:t xml:space="preserve"> (53% vs 58% p= 0.36). </w:t>
      </w:r>
    </w:p>
    <w:p w:rsidR="0060288A" w:rsidRDefault="0060288A" w:rsidP="00527574">
      <w:pPr>
        <w:autoSpaceDE w:val="0"/>
        <w:autoSpaceDN w:val="0"/>
        <w:adjustRightInd w:val="0"/>
        <w:spacing w:after="0" w:line="240" w:lineRule="auto"/>
        <w:contextualSpacing/>
        <w:rPr>
          <w:rFonts w:cstheme="minorHAnsi"/>
          <w:iCs/>
        </w:rPr>
      </w:pPr>
      <w:r w:rsidRPr="008B27FD">
        <w:rPr>
          <w:rFonts w:cstheme="minorHAnsi"/>
          <w:iCs/>
        </w:rPr>
        <w:t xml:space="preserve">Tossicità di grado 3 o 4 e eventi avversi gravi sono stati più comuni nei pazienti trattati con </w:t>
      </w:r>
      <w:proofErr w:type="spellStart"/>
      <w:r w:rsidRPr="008B27FD">
        <w:rPr>
          <w:rFonts w:cstheme="minorHAnsi"/>
          <w:iCs/>
        </w:rPr>
        <w:t>carboplatino</w:t>
      </w:r>
      <w:proofErr w:type="spellEnd"/>
      <w:r w:rsidRPr="008B27FD">
        <w:rPr>
          <w:rFonts w:cstheme="minorHAnsi"/>
          <w:iCs/>
        </w:rPr>
        <w:t xml:space="preserve">, mentre </w:t>
      </w:r>
      <w:proofErr w:type="spellStart"/>
      <w:r w:rsidRPr="008B27FD">
        <w:rPr>
          <w:rFonts w:cstheme="minorHAnsi"/>
          <w:iCs/>
        </w:rPr>
        <w:t>veliparib</w:t>
      </w:r>
      <w:proofErr w:type="spellEnd"/>
      <w:r w:rsidRPr="008B27FD">
        <w:rPr>
          <w:rFonts w:cstheme="minorHAnsi"/>
          <w:iCs/>
        </w:rPr>
        <w:t xml:space="preserve"> non ha aumentato sostanzialmente la tossicità.</w:t>
      </w:r>
    </w:p>
    <w:p w:rsidR="00033CFC" w:rsidRDefault="0060288A" w:rsidP="00527574">
      <w:pPr>
        <w:autoSpaceDE w:val="0"/>
        <w:autoSpaceDN w:val="0"/>
        <w:adjustRightInd w:val="0"/>
        <w:spacing w:after="0" w:line="240" w:lineRule="auto"/>
        <w:contextualSpacing/>
        <w:rPr>
          <w:rFonts w:cstheme="minorHAnsi"/>
          <w:iCs/>
        </w:rPr>
      </w:pPr>
      <w:r w:rsidRPr="008B27FD">
        <w:rPr>
          <w:rFonts w:cstheme="minorHAnsi"/>
          <w:iCs/>
        </w:rPr>
        <w:t xml:space="preserve">Gli eventi avversi gravi più comuni sono stati neutropenia febbrile </w:t>
      </w:r>
      <w:r>
        <w:rPr>
          <w:rFonts w:cstheme="minorHAnsi"/>
          <w:iCs/>
        </w:rPr>
        <w:t xml:space="preserve">nel </w:t>
      </w:r>
      <w:r w:rsidRPr="008B27FD">
        <w:rPr>
          <w:rFonts w:cstheme="minorHAnsi"/>
          <w:iCs/>
        </w:rPr>
        <w:t>13%</w:t>
      </w:r>
      <w:r>
        <w:rPr>
          <w:rFonts w:cstheme="minorHAnsi"/>
          <w:iCs/>
        </w:rPr>
        <w:t xml:space="preserve"> di tutte le </w:t>
      </w:r>
      <w:r w:rsidRPr="008B27FD">
        <w:rPr>
          <w:rFonts w:cstheme="minorHAnsi"/>
          <w:iCs/>
        </w:rPr>
        <w:t xml:space="preserve">pazienti) e anemia </w:t>
      </w:r>
      <w:r>
        <w:rPr>
          <w:rFonts w:cstheme="minorHAnsi"/>
          <w:iCs/>
        </w:rPr>
        <w:t>nel 3%.</w:t>
      </w:r>
    </w:p>
    <w:p w:rsidR="0060288A" w:rsidRDefault="0060288A" w:rsidP="00527574">
      <w:pPr>
        <w:autoSpaceDE w:val="0"/>
        <w:autoSpaceDN w:val="0"/>
        <w:adjustRightInd w:val="0"/>
        <w:spacing w:after="0" w:line="240" w:lineRule="auto"/>
        <w:contextualSpacing/>
        <w:rPr>
          <w:rFonts w:cstheme="minorHAnsi"/>
          <w:iCs/>
        </w:rPr>
      </w:pPr>
    </w:p>
    <w:p w:rsidR="00033CFC" w:rsidRDefault="00033CFC" w:rsidP="00527574">
      <w:pPr>
        <w:autoSpaceDE w:val="0"/>
        <w:autoSpaceDN w:val="0"/>
        <w:adjustRightInd w:val="0"/>
        <w:spacing w:after="0" w:line="240" w:lineRule="auto"/>
        <w:contextualSpacing/>
        <w:rPr>
          <w:rFonts w:cstheme="minorHAnsi"/>
          <w:b/>
          <w:iCs/>
        </w:rPr>
      </w:pPr>
      <w:r w:rsidRPr="00033CFC">
        <w:rPr>
          <w:rFonts w:cstheme="minorHAnsi"/>
          <w:b/>
          <w:iCs/>
        </w:rPr>
        <w:t>Conclusioni</w:t>
      </w:r>
    </w:p>
    <w:p w:rsidR="00DB033D" w:rsidRPr="00033CFC" w:rsidRDefault="00DB033D" w:rsidP="00527574">
      <w:pPr>
        <w:autoSpaceDE w:val="0"/>
        <w:autoSpaceDN w:val="0"/>
        <w:adjustRightInd w:val="0"/>
        <w:spacing w:after="0" w:line="240" w:lineRule="auto"/>
        <w:contextualSpacing/>
        <w:rPr>
          <w:rFonts w:cstheme="minorHAnsi"/>
          <w:b/>
          <w:iCs/>
        </w:rPr>
      </w:pPr>
      <w:r w:rsidRPr="008B27FD">
        <w:rPr>
          <w:rFonts w:cstheme="minorHAnsi"/>
          <w:iCs/>
        </w:rPr>
        <w:t xml:space="preserve">Sebbene l'aggiunta di </w:t>
      </w:r>
      <w:proofErr w:type="spellStart"/>
      <w:r w:rsidRPr="008B27FD">
        <w:rPr>
          <w:rFonts w:cstheme="minorHAnsi"/>
          <w:iCs/>
        </w:rPr>
        <w:t>veliparib</w:t>
      </w:r>
      <w:proofErr w:type="spellEnd"/>
      <w:r w:rsidRPr="008B27FD">
        <w:rPr>
          <w:rFonts w:cstheme="minorHAnsi"/>
          <w:iCs/>
        </w:rPr>
        <w:t xml:space="preserve"> e </w:t>
      </w:r>
      <w:proofErr w:type="spellStart"/>
      <w:r w:rsidRPr="008B27FD">
        <w:rPr>
          <w:rFonts w:cstheme="minorHAnsi"/>
          <w:iCs/>
        </w:rPr>
        <w:t>carboplatino</w:t>
      </w:r>
      <w:proofErr w:type="spellEnd"/>
      <w:r w:rsidRPr="008B27FD">
        <w:rPr>
          <w:rFonts w:cstheme="minorHAnsi"/>
          <w:iCs/>
        </w:rPr>
        <w:t xml:space="preserve"> a</w:t>
      </w:r>
      <w:r>
        <w:rPr>
          <w:rFonts w:cstheme="minorHAnsi"/>
          <w:iCs/>
        </w:rPr>
        <w:t>l</w:t>
      </w:r>
      <w:r w:rsidRPr="008B27FD">
        <w:rPr>
          <w:rFonts w:cstheme="minorHAnsi"/>
          <w:iCs/>
        </w:rPr>
        <w:t xml:space="preserve"> </w:t>
      </w:r>
      <w:proofErr w:type="spellStart"/>
      <w:r w:rsidRPr="008B27FD">
        <w:rPr>
          <w:rFonts w:cstheme="minorHAnsi"/>
          <w:iCs/>
        </w:rPr>
        <w:t>paclitaxel</w:t>
      </w:r>
      <w:proofErr w:type="spellEnd"/>
      <w:r w:rsidRPr="008B27FD">
        <w:rPr>
          <w:rFonts w:cstheme="minorHAnsi"/>
          <w:iCs/>
        </w:rPr>
        <w:t xml:space="preserve"> </w:t>
      </w:r>
      <w:r>
        <w:rPr>
          <w:rFonts w:cstheme="minorHAnsi"/>
          <w:iCs/>
        </w:rPr>
        <w:t>(seguiti</w:t>
      </w:r>
      <w:r w:rsidRPr="008B27FD">
        <w:rPr>
          <w:rFonts w:cstheme="minorHAnsi"/>
          <w:iCs/>
        </w:rPr>
        <w:t xml:space="preserve"> da </w:t>
      </w:r>
      <w:proofErr w:type="spellStart"/>
      <w:r w:rsidRPr="008B27FD">
        <w:rPr>
          <w:rFonts w:cstheme="minorHAnsi"/>
          <w:iCs/>
        </w:rPr>
        <w:t>doxorubicina</w:t>
      </w:r>
      <w:proofErr w:type="spellEnd"/>
      <w:r w:rsidRPr="008B27FD">
        <w:rPr>
          <w:rFonts w:cstheme="minorHAnsi"/>
          <w:iCs/>
        </w:rPr>
        <w:t xml:space="preserve"> e </w:t>
      </w:r>
      <w:proofErr w:type="spellStart"/>
      <w:r w:rsidRPr="008B27FD">
        <w:rPr>
          <w:rFonts w:cstheme="minorHAnsi"/>
          <w:iCs/>
        </w:rPr>
        <w:t>ciclofosfamide</w:t>
      </w:r>
      <w:proofErr w:type="spellEnd"/>
      <w:r>
        <w:rPr>
          <w:rFonts w:cstheme="minorHAnsi"/>
          <w:iCs/>
        </w:rPr>
        <w:t>)</w:t>
      </w:r>
      <w:r w:rsidRPr="008B27FD">
        <w:rPr>
          <w:rFonts w:cstheme="minorHAnsi"/>
          <w:iCs/>
        </w:rPr>
        <w:t xml:space="preserve"> abbia migliorato la percentuale di pazienti con carcinoma mammario triplo negativo che hanno raggiunto una risposta pa</w:t>
      </w:r>
      <w:r>
        <w:rPr>
          <w:rFonts w:cstheme="minorHAnsi"/>
          <w:iCs/>
        </w:rPr>
        <w:t>tologica completa, l'aggiunta del</w:t>
      </w:r>
      <w:r w:rsidRPr="008B27FD">
        <w:rPr>
          <w:rFonts w:cstheme="minorHAnsi"/>
          <w:iCs/>
        </w:rPr>
        <w:t xml:space="preserve"> </w:t>
      </w:r>
      <w:proofErr w:type="spellStart"/>
      <w:r w:rsidRPr="008B27FD">
        <w:rPr>
          <w:rFonts w:cstheme="minorHAnsi"/>
          <w:iCs/>
        </w:rPr>
        <w:t>veliparib</w:t>
      </w:r>
      <w:proofErr w:type="spellEnd"/>
      <w:r w:rsidRPr="008B27FD">
        <w:rPr>
          <w:rFonts w:cstheme="minorHAnsi"/>
          <w:iCs/>
        </w:rPr>
        <w:t xml:space="preserve"> a</w:t>
      </w:r>
      <w:r>
        <w:rPr>
          <w:rFonts w:cstheme="minorHAnsi"/>
          <w:iCs/>
        </w:rPr>
        <w:t xml:space="preserve">l </w:t>
      </w:r>
      <w:proofErr w:type="spellStart"/>
      <w:r>
        <w:rPr>
          <w:rFonts w:cstheme="minorHAnsi"/>
          <w:iCs/>
        </w:rPr>
        <w:t>carboplatino</w:t>
      </w:r>
      <w:proofErr w:type="spellEnd"/>
      <w:r>
        <w:rPr>
          <w:rFonts w:cstheme="minorHAnsi"/>
          <w:iCs/>
        </w:rPr>
        <w:t xml:space="preserve"> +</w:t>
      </w:r>
      <w:r w:rsidRPr="008B27FD">
        <w:rPr>
          <w:rFonts w:cstheme="minorHAnsi"/>
          <w:iCs/>
        </w:rPr>
        <w:t xml:space="preserve"> </w:t>
      </w:r>
      <w:proofErr w:type="spellStart"/>
      <w:r w:rsidRPr="008B27FD">
        <w:rPr>
          <w:rFonts w:cstheme="minorHAnsi"/>
          <w:iCs/>
        </w:rPr>
        <w:t>paclitaxel</w:t>
      </w:r>
      <w:proofErr w:type="spellEnd"/>
      <w:r w:rsidRPr="008B27FD">
        <w:rPr>
          <w:rFonts w:cstheme="minorHAnsi"/>
          <w:iCs/>
        </w:rPr>
        <w:t xml:space="preserve"> no</w:t>
      </w:r>
      <w:r>
        <w:rPr>
          <w:rFonts w:cstheme="minorHAnsi"/>
          <w:iCs/>
        </w:rPr>
        <w:t>n ha ottenuto lo stesso effetto terapeutico</w:t>
      </w:r>
      <w:r>
        <w:rPr>
          <w:rFonts w:cstheme="minorHAnsi"/>
          <w:iCs/>
        </w:rPr>
        <w:t>.</w:t>
      </w:r>
    </w:p>
    <w:p w:rsidR="00527574" w:rsidRPr="003F53E4" w:rsidRDefault="00527574" w:rsidP="00527574">
      <w:pPr>
        <w:autoSpaceDE w:val="0"/>
        <w:autoSpaceDN w:val="0"/>
        <w:adjustRightInd w:val="0"/>
        <w:spacing w:after="0" w:line="240" w:lineRule="auto"/>
        <w:contextualSpacing/>
        <w:rPr>
          <w:rFonts w:cstheme="minorHAnsi"/>
          <w:iCs/>
        </w:rPr>
      </w:pPr>
      <w:r w:rsidRPr="003F53E4">
        <w:rPr>
          <w:rFonts w:cstheme="minorHAnsi"/>
          <w:iCs/>
        </w:rPr>
        <w:t xml:space="preserve">Questi dati suggeriscono che il significativo incremento di risposta patologica completa fosse dovuto al </w:t>
      </w:r>
      <w:proofErr w:type="spellStart"/>
      <w:r w:rsidRPr="003F53E4">
        <w:rPr>
          <w:rFonts w:cstheme="minorHAnsi"/>
          <w:iCs/>
        </w:rPr>
        <w:t>carboplatino</w:t>
      </w:r>
      <w:proofErr w:type="spellEnd"/>
      <w:r w:rsidRPr="003F53E4">
        <w:rPr>
          <w:rFonts w:cstheme="minorHAnsi"/>
          <w:iCs/>
        </w:rPr>
        <w:t xml:space="preserve">, senza un contributo sostanziale del </w:t>
      </w:r>
      <w:proofErr w:type="spellStart"/>
      <w:r w:rsidRPr="003F53E4">
        <w:rPr>
          <w:rFonts w:cstheme="minorHAnsi"/>
          <w:iCs/>
        </w:rPr>
        <w:t>Veliparib</w:t>
      </w:r>
      <w:proofErr w:type="spellEnd"/>
      <w:r w:rsidRPr="003F53E4">
        <w:rPr>
          <w:rFonts w:cstheme="minorHAnsi"/>
          <w:iCs/>
        </w:rPr>
        <w:t xml:space="preserve"> somministrato alla dose di 50mg/</w:t>
      </w:r>
      <w:proofErr w:type="spellStart"/>
      <w:r w:rsidRPr="003F53E4">
        <w:rPr>
          <w:rFonts w:cstheme="minorHAnsi"/>
          <w:iCs/>
        </w:rPr>
        <w:t>bid</w:t>
      </w:r>
      <w:proofErr w:type="spellEnd"/>
      <w:r w:rsidRPr="003F53E4">
        <w:rPr>
          <w:rFonts w:cstheme="minorHAnsi"/>
          <w:iCs/>
        </w:rPr>
        <w:t xml:space="preserve">. </w:t>
      </w:r>
    </w:p>
    <w:p w:rsidR="00EA5121" w:rsidRDefault="00527574" w:rsidP="00033CFC">
      <w:pPr>
        <w:autoSpaceDE w:val="0"/>
        <w:autoSpaceDN w:val="0"/>
        <w:adjustRightInd w:val="0"/>
        <w:spacing w:after="0" w:line="240" w:lineRule="auto"/>
        <w:contextualSpacing/>
        <w:rPr>
          <w:rFonts w:cstheme="minorHAnsi"/>
          <w:iCs/>
        </w:rPr>
      </w:pPr>
      <w:r w:rsidRPr="003F53E4">
        <w:rPr>
          <w:rFonts w:cstheme="minorHAnsi"/>
          <w:iCs/>
        </w:rPr>
        <w:t>Una tossic</w:t>
      </w:r>
      <w:r>
        <w:rPr>
          <w:rFonts w:cstheme="minorHAnsi"/>
          <w:iCs/>
        </w:rPr>
        <w:t>i</w:t>
      </w:r>
      <w:r w:rsidRPr="003F53E4">
        <w:rPr>
          <w:rFonts w:cstheme="minorHAnsi"/>
          <w:iCs/>
        </w:rPr>
        <w:t xml:space="preserve">tà di grado 3 o 4 e la probabilità del verificarsi di eventi avversi è più comune nelle pazienti che ricevono </w:t>
      </w:r>
      <w:proofErr w:type="spellStart"/>
      <w:r w:rsidRPr="003F53E4">
        <w:rPr>
          <w:rFonts w:cstheme="minorHAnsi"/>
          <w:iCs/>
        </w:rPr>
        <w:t>carboplatino</w:t>
      </w:r>
      <w:proofErr w:type="spellEnd"/>
      <w:r w:rsidRPr="003F53E4">
        <w:rPr>
          <w:rFonts w:cstheme="minorHAnsi"/>
          <w:iCs/>
        </w:rPr>
        <w:t xml:space="preserve">, mentre l’aggiunta del </w:t>
      </w:r>
      <w:proofErr w:type="spellStart"/>
      <w:r w:rsidRPr="003F53E4">
        <w:rPr>
          <w:rFonts w:cstheme="minorHAnsi"/>
          <w:iCs/>
        </w:rPr>
        <w:t>Veliparib</w:t>
      </w:r>
      <w:proofErr w:type="spellEnd"/>
      <w:r w:rsidRPr="003F53E4">
        <w:rPr>
          <w:rFonts w:cstheme="minorHAnsi"/>
          <w:iCs/>
        </w:rPr>
        <w:t xml:space="preserve"> orale al regime di </w:t>
      </w:r>
      <w:proofErr w:type="spellStart"/>
      <w:r w:rsidRPr="003F53E4">
        <w:rPr>
          <w:rFonts w:cstheme="minorHAnsi"/>
          <w:iCs/>
        </w:rPr>
        <w:t>paclitaxel</w:t>
      </w:r>
      <w:proofErr w:type="spellEnd"/>
      <w:r w:rsidRPr="003F53E4">
        <w:rPr>
          <w:rFonts w:cstheme="minorHAnsi"/>
          <w:iCs/>
        </w:rPr>
        <w:t xml:space="preserve"> e </w:t>
      </w:r>
      <w:proofErr w:type="spellStart"/>
      <w:r w:rsidRPr="003F53E4">
        <w:rPr>
          <w:rFonts w:cstheme="minorHAnsi"/>
          <w:iCs/>
        </w:rPr>
        <w:t>carboplatino</w:t>
      </w:r>
      <w:proofErr w:type="spellEnd"/>
      <w:r w:rsidRPr="003F53E4">
        <w:rPr>
          <w:rFonts w:cstheme="minorHAnsi"/>
          <w:iCs/>
        </w:rPr>
        <w:t xml:space="preserve"> esita in un modesto incremento della tossicità ematologica. In accordo con studi precedenti l’aggiunta del </w:t>
      </w:r>
      <w:proofErr w:type="spellStart"/>
      <w:r w:rsidRPr="003F53E4">
        <w:rPr>
          <w:rFonts w:cstheme="minorHAnsi"/>
          <w:iCs/>
        </w:rPr>
        <w:t>carboplatino</w:t>
      </w:r>
      <w:proofErr w:type="spellEnd"/>
      <w:r w:rsidRPr="003F53E4">
        <w:rPr>
          <w:rFonts w:cstheme="minorHAnsi"/>
          <w:iCs/>
        </w:rPr>
        <w:t xml:space="preserve"> al regime neo</w:t>
      </w:r>
      <w:r w:rsidR="000E6063">
        <w:rPr>
          <w:rFonts w:cstheme="minorHAnsi"/>
          <w:iCs/>
        </w:rPr>
        <w:t>-</w:t>
      </w:r>
      <w:r w:rsidRPr="003F53E4">
        <w:rPr>
          <w:rFonts w:cstheme="minorHAnsi"/>
          <w:iCs/>
        </w:rPr>
        <w:t>adiuvante in donne con carcinoma mammario triple negative ha</w:t>
      </w:r>
      <w:r w:rsidR="00DB033D">
        <w:rPr>
          <w:rFonts w:cstheme="minorHAnsi"/>
          <w:iCs/>
        </w:rPr>
        <w:t xml:space="preserve"> dimostrato</w:t>
      </w:r>
      <w:r w:rsidRPr="003F53E4">
        <w:rPr>
          <w:rFonts w:cstheme="minorHAnsi"/>
          <w:iCs/>
        </w:rPr>
        <w:t xml:space="preserve"> un rapporto rischio-beneficio favorevole e potrebbe essere considerato </w:t>
      </w:r>
      <w:r w:rsidR="00DB033D">
        <w:rPr>
          <w:rFonts w:cstheme="minorHAnsi"/>
          <w:iCs/>
        </w:rPr>
        <w:t xml:space="preserve">come </w:t>
      </w:r>
      <w:r w:rsidRPr="003F53E4">
        <w:rPr>
          <w:rFonts w:cstheme="minorHAnsi"/>
          <w:iCs/>
        </w:rPr>
        <w:t>componente essenziale della chemioterapia neo</w:t>
      </w:r>
      <w:r w:rsidR="000E6063">
        <w:rPr>
          <w:rFonts w:cstheme="minorHAnsi"/>
          <w:iCs/>
        </w:rPr>
        <w:t>-</w:t>
      </w:r>
      <w:r w:rsidRPr="003F53E4">
        <w:rPr>
          <w:rFonts w:cstheme="minorHAnsi"/>
          <w:iCs/>
        </w:rPr>
        <w:t xml:space="preserve">adiuvante. </w:t>
      </w:r>
    </w:p>
    <w:p w:rsidR="008B27FD" w:rsidRDefault="008B27FD" w:rsidP="00033CFC">
      <w:pPr>
        <w:autoSpaceDE w:val="0"/>
        <w:autoSpaceDN w:val="0"/>
        <w:adjustRightInd w:val="0"/>
        <w:spacing w:after="0" w:line="240" w:lineRule="auto"/>
        <w:contextualSpacing/>
        <w:rPr>
          <w:rFonts w:cstheme="minorHAnsi"/>
          <w:iCs/>
        </w:rPr>
      </w:pPr>
    </w:p>
    <w:p w:rsidR="008B27FD" w:rsidRDefault="008B27FD" w:rsidP="00033CFC">
      <w:pPr>
        <w:autoSpaceDE w:val="0"/>
        <w:autoSpaceDN w:val="0"/>
        <w:adjustRightInd w:val="0"/>
        <w:spacing w:after="0" w:line="240" w:lineRule="auto"/>
        <w:contextualSpacing/>
        <w:rPr>
          <w:rFonts w:cstheme="minorHAnsi"/>
          <w:iCs/>
        </w:rPr>
      </w:pPr>
    </w:p>
    <w:sectPr w:rsidR="008B27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3F9"/>
    <w:multiLevelType w:val="multilevel"/>
    <w:tmpl w:val="5E5A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66998"/>
    <w:multiLevelType w:val="multilevel"/>
    <w:tmpl w:val="50A2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3632B"/>
    <w:multiLevelType w:val="multilevel"/>
    <w:tmpl w:val="8A30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A197E"/>
    <w:multiLevelType w:val="multilevel"/>
    <w:tmpl w:val="4160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A6CC4"/>
    <w:multiLevelType w:val="multilevel"/>
    <w:tmpl w:val="DC28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54AC3"/>
    <w:multiLevelType w:val="multilevel"/>
    <w:tmpl w:val="D12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A66D8C"/>
    <w:multiLevelType w:val="multilevel"/>
    <w:tmpl w:val="AC00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4073C"/>
    <w:multiLevelType w:val="multilevel"/>
    <w:tmpl w:val="4FEE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76EA7"/>
    <w:multiLevelType w:val="multilevel"/>
    <w:tmpl w:val="983E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80CAD"/>
    <w:multiLevelType w:val="multilevel"/>
    <w:tmpl w:val="F96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55FE6"/>
    <w:multiLevelType w:val="multilevel"/>
    <w:tmpl w:val="864E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305AD"/>
    <w:multiLevelType w:val="multilevel"/>
    <w:tmpl w:val="F1BE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C71B0"/>
    <w:multiLevelType w:val="multilevel"/>
    <w:tmpl w:val="944A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287959"/>
    <w:multiLevelType w:val="multilevel"/>
    <w:tmpl w:val="5C0C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3E4F59"/>
    <w:multiLevelType w:val="multilevel"/>
    <w:tmpl w:val="85CC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EA2559"/>
    <w:multiLevelType w:val="multilevel"/>
    <w:tmpl w:val="1EF4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4"/>
  </w:num>
  <w:num w:numId="4">
    <w:abstractNumId w:val="9"/>
  </w:num>
  <w:num w:numId="5">
    <w:abstractNumId w:val="0"/>
  </w:num>
  <w:num w:numId="6">
    <w:abstractNumId w:val="5"/>
  </w:num>
  <w:num w:numId="7">
    <w:abstractNumId w:val="12"/>
  </w:num>
  <w:num w:numId="8">
    <w:abstractNumId w:val="8"/>
  </w:num>
  <w:num w:numId="9">
    <w:abstractNumId w:val="11"/>
  </w:num>
  <w:num w:numId="10">
    <w:abstractNumId w:val="3"/>
  </w:num>
  <w:num w:numId="11">
    <w:abstractNumId w:val="4"/>
  </w:num>
  <w:num w:numId="12">
    <w:abstractNumId w:val="13"/>
  </w:num>
  <w:num w:numId="13">
    <w:abstractNumId w:val="2"/>
  </w:num>
  <w:num w:numId="14">
    <w:abstractNumId w:val="1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B7"/>
    <w:rsid w:val="00027162"/>
    <w:rsid w:val="000318ED"/>
    <w:rsid w:val="00033CFC"/>
    <w:rsid w:val="0004400A"/>
    <w:rsid w:val="00067BA1"/>
    <w:rsid w:val="00092EA1"/>
    <w:rsid w:val="000D1053"/>
    <w:rsid w:val="000E6063"/>
    <w:rsid w:val="0011726E"/>
    <w:rsid w:val="00195E79"/>
    <w:rsid w:val="00225146"/>
    <w:rsid w:val="00226D33"/>
    <w:rsid w:val="00245755"/>
    <w:rsid w:val="002C58F6"/>
    <w:rsid w:val="00370F05"/>
    <w:rsid w:val="003D03FF"/>
    <w:rsid w:val="003D60DC"/>
    <w:rsid w:val="003F01FF"/>
    <w:rsid w:val="0041430A"/>
    <w:rsid w:val="00441059"/>
    <w:rsid w:val="004410B7"/>
    <w:rsid w:val="00495F2F"/>
    <w:rsid w:val="004E3B9D"/>
    <w:rsid w:val="004F6BCB"/>
    <w:rsid w:val="00527574"/>
    <w:rsid w:val="00577EF4"/>
    <w:rsid w:val="005D3AFD"/>
    <w:rsid w:val="0060288A"/>
    <w:rsid w:val="00631FC8"/>
    <w:rsid w:val="00690E83"/>
    <w:rsid w:val="006E35C2"/>
    <w:rsid w:val="00797044"/>
    <w:rsid w:val="007F6211"/>
    <w:rsid w:val="00883156"/>
    <w:rsid w:val="0088552A"/>
    <w:rsid w:val="008B27FD"/>
    <w:rsid w:val="008C4DCA"/>
    <w:rsid w:val="009266E3"/>
    <w:rsid w:val="00976D4C"/>
    <w:rsid w:val="009864CB"/>
    <w:rsid w:val="0099241A"/>
    <w:rsid w:val="009B2A7F"/>
    <w:rsid w:val="00A47746"/>
    <w:rsid w:val="00A6524A"/>
    <w:rsid w:val="00AA08E7"/>
    <w:rsid w:val="00AA46F6"/>
    <w:rsid w:val="00AF024B"/>
    <w:rsid w:val="00B71EC8"/>
    <w:rsid w:val="00BC572D"/>
    <w:rsid w:val="00BE1217"/>
    <w:rsid w:val="00BF3532"/>
    <w:rsid w:val="00BF7782"/>
    <w:rsid w:val="00C869DB"/>
    <w:rsid w:val="00CC1185"/>
    <w:rsid w:val="00CF3BA1"/>
    <w:rsid w:val="00D32D9E"/>
    <w:rsid w:val="00D4630A"/>
    <w:rsid w:val="00DA56B8"/>
    <w:rsid w:val="00DB033D"/>
    <w:rsid w:val="00E07807"/>
    <w:rsid w:val="00E36538"/>
    <w:rsid w:val="00E61DC0"/>
    <w:rsid w:val="00E71248"/>
    <w:rsid w:val="00E96982"/>
    <w:rsid w:val="00EA5121"/>
    <w:rsid w:val="00EC0098"/>
    <w:rsid w:val="00EE6E5E"/>
    <w:rsid w:val="00EE7E79"/>
    <w:rsid w:val="00EF0FE6"/>
    <w:rsid w:val="00F35FCB"/>
    <w:rsid w:val="00F57B77"/>
    <w:rsid w:val="00F71FB7"/>
    <w:rsid w:val="00FC2185"/>
    <w:rsid w:val="00FC2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44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0440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11726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04400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4400A"/>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0440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04400A"/>
    <w:rPr>
      <w:rFonts w:asciiTheme="majorHAnsi" w:eastAsiaTheme="majorEastAsia" w:hAnsiTheme="majorHAnsi" w:cstheme="majorBidi"/>
      <w:b/>
      <w:bCs/>
      <w:color w:val="365F91" w:themeColor="accent1" w:themeShade="BF"/>
      <w:sz w:val="28"/>
      <w:szCs w:val="28"/>
    </w:rPr>
  </w:style>
  <w:style w:type="character" w:customStyle="1" w:styleId="Titolo6Carattere">
    <w:name w:val="Titolo 6 Carattere"/>
    <w:basedOn w:val="Carpredefinitoparagrafo"/>
    <w:link w:val="Titolo6"/>
    <w:uiPriority w:val="9"/>
    <w:semiHidden/>
    <w:rsid w:val="0004400A"/>
    <w:rPr>
      <w:rFonts w:asciiTheme="majorHAnsi" w:eastAsiaTheme="majorEastAsia" w:hAnsiTheme="majorHAnsi" w:cstheme="majorBidi"/>
      <w:i/>
      <w:iCs/>
      <w:color w:val="243F60" w:themeColor="accent1" w:themeShade="7F"/>
    </w:rPr>
  </w:style>
  <w:style w:type="character" w:customStyle="1" w:styleId="given-name">
    <w:name w:val="given-name"/>
    <w:basedOn w:val="Carpredefinitoparagrafo"/>
    <w:rsid w:val="0004400A"/>
  </w:style>
  <w:style w:type="character" w:styleId="CitazioneHTML">
    <w:name w:val="HTML Cite"/>
    <w:basedOn w:val="Carpredefinitoparagrafo"/>
    <w:uiPriority w:val="99"/>
    <w:semiHidden/>
    <w:unhideWhenUsed/>
    <w:rsid w:val="0004400A"/>
    <w:rPr>
      <w:i/>
      <w:iCs/>
    </w:rPr>
  </w:style>
  <w:style w:type="paragraph" w:styleId="Testofumetto">
    <w:name w:val="Balloon Text"/>
    <w:basedOn w:val="Normale"/>
    <w:link w:val="TestofumettoCarattere"/>
    <w:uiPriority w:val="99"/>
    <w:semiHidden/>
    <w:unhideWhenUsed/>
    <w:rsid w:val="008831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3156"/>
    <w:rPr>
      <w:rFonts w:ascii="Tahoma" w:hAnsi="Tahoma" w:cs="Tahoma"/>
      <w:sz w:val="16"/>
      <w:szCs w:val="16"/>
    </w:rPr>
  </w:style>
  <w:style w:type="character" w:styleId="Enfasicorsivo">
    <w:name w:val="Emphasis"/>
    <w:basedOn w:val="Carpredefinitoparagrafo"/>
    <w:uiPriority w:val="20"/>
    <w:qFormat/>
    <w:rsid w:val="00C869DB"/>
    <w:rPr>
      <w:i/>
      <w:iCs/>
    </w:rPr>
  </w:style>
  <w:style w:type="character" w:customStyle="1" w:styleId="Titolo4Carattere">
    <w:name w:val="Titolo 4 Carattere"/>
    <w:basedOn w:val="Carpredefinitoparagrafo"/>
    <w:link w:val="Titolo4"/>
    <w:uiPriority w:val="9"/>
    <w:semiHidden/>
    <w:rsid w:val="0011726E"/>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semiHidden/>
    <w:unhideWhenUsed/>
    <w:rsid w:val="0011726E"/>
    <w:rPr>
      <w:color w:val="0000FF"/>
      <w:u w:val="single"/>
    </w:rPr>
  </w:style>
  <w:style w:type="character" w:customStyle="1" w:styleId="read-more">
    <w:name w:val="read-more"/>
    <w:basedOn w:val="Carpredefinitoparagrafo"/>
    <w:rsid w:val="0011726E"/>
  </w:style>
  <w:style w:type="character" w:customStyle="1" w:styleId="rounded-btn">
    <w:name w:val="rounded-btn"/>
    <w:basedOn w:val="Carpredefinitoparagrafo"/>
    <w:rsid w:val="0011726E"/>
  </w:style>
  <w:style w:type="paragraph" w:customStyle="1" w:styleId="funding-by">
    <w:name w:val="funding-by"/>
    <w:basedOn w:val="Normale"/>
    <w:rsid w:val="001172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1726E"/>
    <w:rPr>
      <w:b/>
      <w:bCs/>
    </w:rPr>
  </w:style>
  <w:style w:type="paragraph" w:customStyle="1" w:styleId="ListParagraph">
    <w:name w:val="List Paragraph"/>
    <w:basedOn w:val="Normale"/>
    <w:rsid w:val="008C4DCA"/>
    <w:pPr>
      <w:widowControl w:val="0"/>
      <w:suppressAutoHyphens/>
      <w:spacing w:after="0" w:line="240" w:lineRule="auto"/>
      <w:ind w:left="720"/>
    </w:pPr>
    <w:rPr>
      <w:rFonts w:ascii="Times New Roman" w:eastAsia="SimSun" w:hAnsi="Times New Roman" w:cs="Ari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44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0440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11726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04400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4400A"/>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0440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04400A"/>
    <w:rPr>
      <w:rFonts w:asciiTheme="majorHAnsi" w:eastAsiaTheme="majorEastAsia" w:hAnsiTheme="majorHAnsi" w:cstheme="majorBidi"/>
      <w:b/>
      <w:bCs/>
      <w:color w:val="365F91" w:themeColor="accent1" w:themeShade="BF"/>
      <w:sz w:val="28"/>
      <w:szCs w:val="28"/>
    </w:rPr>
  </w:style>
  <w:style w:type="character" w:customStyle="1" w:styleId="Titolo6Carattere">
    <w:name w:val="Titolo 6 Carattere"/>
    <w:basedOn w:val="Carpredefinitoparagrafo"/>
    <w:link w:val="Titolo6"/>
    <w:uiPriority w:val="9"/>
    <w:semiHidden/>
    <w:rsid w:val="0004400A"/>
    <w:rPr>
      <w:rFonts w:asciiTheme="majorHAnsi" w:eastAsiaTheme="majorEastAsia" w:hAnsiTheme="majorHAnsi" w:cstheme="majorBidi"/>
      <w:i/>
      <w:iCs/>
      <w:color w:val="243F60" w:themeColor="accent1" w:themeShade="7F"/>
    </w:rPr>
  </w:style>
  <w:style w:type="character" w:customStyle="1" w:styleId="given-name">
    <w:name w:val="given-name"/>
    <w:basedOn w:val="Carpredefinitoparagrafo"/>
    <w:rsid w:val="0004400A"/>
  </w:style>
  <w:style w:type="character" w:styleId="CitazioneHTML">
    <w:name w:val="HTML Cite"/>
    <w:basedOn w:val="Carpredefinitoparagrafo"/>
    <w:uiPriority w:val="99"/>
    <w:semiHidden/>
    <w:unhideWhenUsed/>
    <w:rsid w:val="0004400A"/>
    <w:rPr>
      <w:i/>
      <w:iCs/>
    </w:rPr>
  </w:style>
  <w:style w:type="paragraph" w:styleId="Testofumetto">
    <w:name w:val="Balloon Text"/>
    <w:basedOn w:val="Normale"/>
    <w:link w:val="TestofumettoCarattere"/>
    <w:uiPriority w:val="99"/>
    <w:semiHidden/>
    <w:unhideWhenUsed/>
    <w:rsid w:val="008831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3156"/>
    <w:rPr>
      <w:rFonts w:ascii="Tahoma" w:hAnsi="Tahoma" w:cs="Tahoma"/>
      <w:sz w:val="16"/>
      <w:szCs w:val="16"/>
    </w:rPr>
  </w:style>
  <w:style w:type="character" w:styleId="Enfasicorsivo">
    <w:name w:val="Emphasis"/>
    <w:basedOn w:val="Carpredefinitoparagrafo"/>
    <w:uiPriority w:val="20"/>
    <w:qFormat/>
    <w:rsid w:val="00C869DB"/>
    <w:rPr>
      <w:i/>
      <w:iCs/>
    </w:rPr>
  </w:style>
  <w:style w:type="character" w:customStyle="1" w:styleId="Titolo4Carattere">
    <w:name w:val="Titolo 4 Carattere"/>
    <w:basedOn w:val="Carpredefinitoparagrafo"/>
    <w:link w:val="Titolo4"/>
    <w:uiPriority w:val="9"/>
    <w:semiHidden/>
    <w:rsid w:val="0011726E"/>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semiHidden/>
    <w:unhideWhenUsed/>
    <w:rsid w:val="0011726E"/>
    <w:rPr>
      <w:color w:val="0000FF"/>
      <w:u w:val="single"/>
    </w:rPr>
  </w:style>
  <w:style w:type="character" w:customStyle="1" w:styleId="read-more">
    <w:name w:val="read-more"/>
    <w:basedOn w:val="Carpredefinitoparagrafo"/>
    <w:rsid w:val="0011726E"/>
  </w:style>
  <w:style w:type="character" w:customStyle="1" w:styleId="rounded-btn">
    <w:name w:val="rounded-btn"/>
    <w:basedOn w:val="Carpredefinitoparagrafo"/>
    <w:rsid w:val="0011726E"/>
  </w:style>
  <w:style w:type="paragraph" w:customStyle="1" w:styleId="funding-by">
    <w:name w:val="funding-by"/>
    <w:basedOn w:val="Normale"/>
    <w:rsid w:val="001172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1726E"/>
    <w:rPr>
      <w:b/>
      <w:bCs/>
    </w:rPr>
  </w:style>
  <w:style w:type="paragraph" w:customStyle="1" w:styleId="ListParagraph">
    <w:name w:val="List Paragraph"/>
    <w:basedOn w:val="Normale"/>
    <w:rsid w:val="008C4DCA"/>
    <w:pPr>
      <w:widowControl w:val="0"/>
      <w:suppressAutoHyphens/>
      <w:spacing w:after="0" w:line="240" w:lineRule="auto"/>
      <w:ind w:left="720"/>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6717">
      <w:bodyDiv w:val="1"/>
      <w:marLeft w:val="0"/>
      <w:marRight w:val="0"/>
      <w:marTop w:val="0"/>
      <w:marBottom w:val="0"/>
      <w:divBdr>
        <w:top w:val="none" w:sz="0" w:space="0" w:color="auto"/>
        <w:left w:val="none" w:sz="0" w:space="0" w:color="auto"/>
        <w:bottom w:val="none" w:sz="0" w:space="0" w:color="auto"/>
        <w:right w:val="none" w:sz="0" w:space="0" w:color="auto"/>
      </w:divBdr>
    </w:div>
    <w:div w:id="381826654">
      <w:bodyDiv w:val="1"/>
      <w:marLeft w:val="0"/>
      <w:marRight w:val="0"/>
      <w:marTop w:val="0"/>
      <w:marBottom w:val="0"/>
      <w:divBdr>
        <w:top w:val="none" w:sz="0" w:space="0" w:color="auto"/>
        <w:left w:val="none" w:sz="0" w:space="0" w:color="auto"/>
        <w:bottom w:val="none" w:sz="0" w:space="0" w:color="auto"/>
        <w:right w:val="none" w:sz="0" w:space="0" w:color="auto"/>
      </w:divBdr>
      <w:divsChild>
        <w:div w:id="258832163">
          <w:marLeft w:val="0"/>
          <w:marRight w:val="0"/>
          <w:marTop w:val="0"/>
          <w:marBottom w:val="0"/>
          <w:divBdr>
            <w:top w:val="none" w:sz="0" w:space="0" w:color="auto"/>
            <w:left w:val="none" w:sz="0" w:space="0" w:color="auto"/>
            <w:bottom w:val="none" w:sz="0" w:space="0" w:color="auto"/>
            <w:right w:val="none" w:sz="0" w:space="0" w:color="auto"/>
          </w:divBdr>
        </w:div>
      </w:divsChild>
    </w:div>
    <w:div w:id="474684918">
      <w:bodyDiv w:val="1"/>
      <w:marLeft w:val="0"/>
      <w:marRight w:val="0"/>
      <w:marTop w:val="0"/>
      <w:marBottom w:val="0"/>
      <w:divBdr>
        <w:top w:val="none" w:sz="0" w:space="0" w:color="auto"/>
        <w:left w:val="none" w:sz="0" w:space="0" w:color="auto"/>
        <w:bottom w:val="none" w:sz="0" w:space="0" w:color="auto"/>
        <w:right w:val="none" w:sz="0" w:space="0" w:color="auto"/>
      </w:divBdr>
      <w:divsChild>
        <w:div w:id="81612169">
          <w:marLeft w:val="0"/>
          <w:marRight w:val="0"/>
          <w:marTop w:val="0"/>
          <w:marBottom w:val="0"/>
          <w:divBdr>
            <w:top w:val="none" w:sz="0" w:space="0" w:color="auto"/>
            <w:left w:val="none" w:sz="0" w:space="0" w:color="auto"/>
            <w:bottom w:val="none" w:sz="0" w:space="0" w:color="auto"/>
            <w:right w:val="none" w:sz="0" w:space="0" w:color="auto"/>
          </w:divBdr>
          <w:divsChild>
            <w:div w:id="1026322617">
              <w:marLeft w:val="0"/>
              <w:marRight w:val="60"/>
              <w:marTop w:val="0"/>
              <w:marBottom w:val="0"/>
              <w:divBdr>
                <w:top w:val="none" w:sz="0" w:space="0" w:color="auto"/>
                <w:left w:val="none" w:sz="0" w:space="0" w:color="auto"/>
                <w:bottom w:val="none" w:sz="0" w:space="0" w:color="auto"/>
                <w:right w:val="none" w:sz="0" w:space="0" w:color="auto"/>
              </w:divBdr>
              <w:divsChild>
                <w:div w:id="1131366857">
                  <w:marLeft w:val="0"/>
                  <w:marRight w:val="0"/>
                  <w:marTop w:val="0"/>
                  <w:marBottom w:val="120"/>
                  <w:divBdr>
                    <w:top w:val="single" w:sz="6" w:space="0" w:color="C0C0C0"/>
                    <w:left w:val="single" w:sz="6" w:space="0" w:color="D9D9D9"/>
                    <w:bottom w:val="single" w:sz="6" w:space="0" w:color="D9D9D9"/>
                    <w:right w:val="single" w:sz="6" w:space="0" w:color="D9D9D9"/>
                  </w:divBdr>
                  <w:divsChild>
                    <w:div w:id="1979458236">
                      <w:marLeft w:val="0"/>
                      <w:marRight w:val="0"/>
                      <w:marTop w:val="0"/>
                      <w:marBottom w:val="0"/>
                      <w:divBdr>
                        <w:top w:val="none" w:sz="0" w:space="0" w:color="auto"/>
                        <w:left w:val="none" w:sz="0" w:space="0" w:color="auto"/>
                        <w:bottom w:val="none" w:sz="0" w:space="0" w:color="auto"/>
                        <w:right w:val="none" w:sz="0" w:space="0" w:color="auto"/>
                      </w:divBdr>
                    </w:div>
                    <w:div w:id="1535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1833">
          <w:marLeft w:val="0"/>
          <w:marRight w:val="0"/>
          <w:marTop w:val="0"/>
          <w:marBottom w:val="0"/>
          <w:divBdr>
            <w:top w:val="none" w:sz="0" w:space="0" w:color="auto"/>
            <w:left w:val="none" w:sz="0" w:space="0" w:color="auto"/>
            <w:bottom w:val="none" w:sz="0" w:space="0" w:color="auto"/>
            <w:right w:val="none" w:sz="0" w:space="0" w:color="auto"/>
          </w:divBdr>
          <w:divsChild>
            <w:div w:id="2080517921">
              <w:marLeft w:val="60"/>
              <w:marRight w:val="0"/>
              <w:marTop w:val="0"/>
              <w:marBottom w:val="0"/>
              <w:divBdr>
                <w:top w:val="none" w:sz="0" w:space="0" w:color="auto"/>
                <w:left w:val="none" w:sz="0" w:space="0" w:color="auto"/>
                <w:bottom w:val="none" w:sz="0" w:space="0" w:color="auto"/>
                <w:right w:val="none" w:sz="0" w:space="0" w:color="auto"/>
              </w:divBdr>
              <w:divsChild>
                <w:div w:id="788547242">
                  <w:marLeft w:val="0"/>
                  <w:marRight w:val="0"/>
                  <w:marTop w:val="0"/>
                  <w:marBottom w:val="0"/>
                  <w:divBdr>
                    <w:top w:val="none" w:sz="0" w:space="0" w:color="auto"/>
                    <w:left w:val="none" w:sz="0" w:space="0" w:color="auto"/>
                    <w:bottom w:val="none" w:sz="0" w:space="0" w:color="auto"/>
                    <w:right w:val="none" w:sz="0" w:space="0" w:color="auto"/>
                  </w:divBdr>
                  <w:divsChild>
                    <w:div w:id="1907492592">
                      <w:marLeft w:val="0"/>
                      <w:marRight w:val="0"/>
                      <w:marTop w:val="0"/>
                      <w:marBottom w:val="120"/>
                      <w:divBdr>
                        <w:top w:val="single" w:sz="6" w:space="0" w:color="F5F5F5"/>
                        <w:left w:val="single" w:sz="6" w:space="0" w:color="F5F5F5"/>
                        <w:bottom w:val="single" w:sz="6" w:space="0" w:color="F5F5F5"/>
                        <w:right w:val="single" w:sz="6" w:space="0" w:color="F5F5F5"/>
                      </w:divBdr>
                      <w:divsChild>
                        <w:div w:id="1804804972">
                          <w:marLeft w:val="0"/>
                          <w:marRight w:val="0"/>
                          <w:marTop w:val="0"/>
                          <w:marBottom w:val="0"/>
                          <w:divBdr>
                            <w:top w:val="none" w:sz="0" w:space="0" w:color="auto"/>
                            <w:left w:val="none" w:sz="0" w:space="0" w:color="auto"/>
                            <w:bottom w:val="none" w:sz="0" w:space="0" w:color="auto"/>
                            <w:right w:val="none" w:sz="0" w:space="0" w:color="auto"/>
                          </w:divBdr>
                          <w:divsChild>
                            <w:div w:id="3928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69146">
      <w:bodyDiv w:val="1"/>
      <w:marLeft w:val="0"/>
      <w:marRight w:val="0"/>
      <w:marTop w:val="0"/>
      <w:marBottom w:val="0"/>
      <w:divBdr>
        <w:top w:val="none" w:sz="0" w:space="0" w:color="auto"/>
        <w:left w:val="none" w:sz="0" w:space="0" w:color="auto"/>
        <w:bottom w:val="none" w:sz="0" w:space="0" w:color="auto"/>
        <w:right w:val="none" w:sz="0" w:space="0" w:color="auto"/>
      </w:divBdr>
      <w:divsChild>
        <w:div w:id="1635021348">
          <w:marLeft w:val="0"/>
          <w:marRight w:val="0"/>
          <w:marTop w:val="0"/>
          <w:marBottom w:val="0"/>
          <w:divBdr>
            <w:top w:val="none" w:sz="0" w:space="0" w:color="auto"/>
            <w:left w:val="none" w:sz="0" w:space="0" w:color="auto"/>
            <w:bottom w:val="none" w:sz="0" w:space="0" w:color="auto"/>
            <w:right w:val="none" w:sz="0" w:space="0" w:color="auto"/>
          </w:divBdr>
          <w:divsChild>
            <w:div w:id="1762067148">
              <w:marLeft w:val="0"/>
              <w:marRight w:val="0"/>
              <w:marTop w:val="0"/>
              <w:marBottom w:val="0"/>
              <w:divBdr>
                <w:top w:val="none" w:sz="0" w:space="0" w:color="auto"/>
                <w:left w:val="none" w:sz="0" w:space="0" w:color="auto"/>
                <w:bottom w:val="none" w:sz="0" w:space="0" w:color="auto"/>
                <w:right w:val="none" w:sz="0" w:space="0" w:color="auto"/>
              </w:divBdr>
              <w:divsChild>
                <w:div w:id="1674141659">
                  <w:marLeft w:val="-1575"/>
                  <w:marRight w:val="0"/>
                  <w:marTop w:val="0"/>
                  <w:marBottom w:val="0"/>
                  <w:divBdr>
                    <w:top w:val="none" w:sz="0" w:space="0" w:color="auto"/>
                    <w:left w:val="none" w:sz="0" w:space="0" w:color="auto"/>
                    <w:bottom w:val="none" w:sz="0" w:space="0" w:color="auto"/>
                    <w:right w:val="none" w:sz="0" w:space="0" w:color="auto"/>
                  </w:divBdr>
                </w:div>
              </w:divsChild>
            </w:div>
          </w:divsChild>
        </w:div>
        <w:div w:id="2044549594">
          <w:marLeft w:val="0"/>
          <w:marRight w:val="0"/>
          <w:marTop w:val="0"/>
          <w:marBottom w:val="0"/>
          <w:divBdr>
            <w:top w:val="single" w:sz="24" w:space="0" w:color="E6245C"/>
            <w:left w:val="none" w:sz="0" w:space="0" w:color="auto"/>
            <w:bottom w:val="none" w:sz="0" w:space="0" w:color="auto"/>
            <w:right w:val="none" w:sz="0" w:space="0" w:color="auto"/>
          </w:divBdr>
          <w:divsChild>
            <w:div w:id="1453135717">
              <w:marLeft w:val="0"/>
              <w:marRight w:val="0"/>
              <w:marTop w:val="0"/>
              <w:marBottom w:val="0"/>
              <w:divBdr>
                <w:top w:val="none" w:sz="0" w:space="0" w:color="auto"/>
                <w:left w:val="none" w:sz="0" w:space="0" w:color="auto"/>
                <w:bottom w:val="none" w:sz="0" w:space="0" w:color="auto"/>
                <w:right w:val="none" w:sz="0" w:space="0" w:color="auto"/>
              </w:divBdr>
              <w:divsChild>
                <w:div w:id="1410883923">
                  <w:marLeft w:val="0"/>
                  <w:marRight w:val="0"/>
                  <w:marTop w:val="0"/>
                  <w:marBottom w:val="0"/>
                  <w:divBdr>
                    <w:top w:val="none" w:sz="0" w:space="0" w:color="auto"/>
                    <w:left w:val="none" w:sz="0" w:space="0" w:color="auto"/>
                    <w:bottom w:val="none" w:sz="0" w:space="0" w:color="auto"/>
                    <w:right w:val="none" w:sz="0" w:space="0" w:color="auto"/>
                  </w:divBdr>
                </w:div>
                <w:div w:id="1787306826">
                  <w:marLeft w:val="0"/>
                  <w:marRight w:val="0"/>
                  <w:marTop w:val="0"/>
                  <w:marBottom w:val="0"/>
                  <w:divBdr>
                    <w:top w:val="none" w:sz="0" w:space="0" w:color="auto"/>
                    <w:left w:val="none" w:sz="0" w:space="0" w:color="auto"/>
                    <w:bottom w:val="none" w:sz="0" w:space="0" w:color="auto"/>
                    <w:right w:val="none" w:sz="0" w:space="0" w:color="auto"/>
                  </w:divBdr>
                </w:div>
                <w:div w:id="14175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8826">
          <w:marLeft w:val="0"/>
          <w:marRight w:val="0"/>
          <w:marTop w:val="0"/>
          <w:marBottom w:val="0"/>
          <w:divBdr>
            <w:top w:val="none" w:sz="0" w:space="0" w:color="auto"/>
            <w:left w:val="none" w:sz="0" w:space="0" w:color="auto"/>
            <w:bottom w:val="none" w:sz="0" w:space="0" w:color="auto"/>
            <w:right w:val="none" w:sz="0" w:space="0" w:color="auto"/>
          </w:divBdr>
          <w:divsChild>
            <w:div w:id="13931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3637">
      <w:bodyDiv w:val="1"/>
      <w:marLeft w:val="0"/>
      <w:marRight w:val="0"/>
      <w:marTop w:val="0"/>
      <w:marBottom w:val="0"/>
      <w:divBdr>
        <w:top w:val="none" w:sz="0" w:space="0" w:color="auto"/>
        <w:left w:val="none" w:sz="0" w:space="0" w:color="auto"/>
        <w:bottom w:val="none" w:sz="0" w:space="0" w:color="auto"/>
        <w:right w:val="none" w:sz="0" w:space="0" w:color="auto"/>
      </w:divBdr>
    </w:div>
    <w:div w:id="1095978688">
      <w:bodyDiv w:val="1"/>
      <w:marLeft w:val="0"/>
      <w:marRight w:val="0"/>
      <w:marTop w:val="0"/>
      <w:marBottom w:val="0"/>
      <w:divBdr>
        <w:top w:val="none" w:sz="0" w:space="0" w:color="auto"/>
        <w:left w:val="none" w:sz="0" w:space="0" w:color="auto"/>
        <w:bottom w:val="none" w:sz="0" w:space="0" w:color="auto"/>
        <w:right w:val="none" w:sz="0" w:space="0" w:color="auto"/>
      </w:divBdr>
      <w:divsChild>
        <w:div w:id="664013403">
          <w:marLeft w:val="0"/>
          <w:marRight w:val="0"/>
          <w:marTop w:val="0"/>
          <w:marBottom w:val="0"/>
          <w:divBdr>
            <w:top w:val="none" w:sz="0" w:space="0" w:color="auto"/>
            <w:left w:val="none" w:sz="0" w:space="0" w:color="auto"/>
            <w:bottom w:val="none" w:sz="0" w:space="0" w:color="auto"/>
            <w:right w:val="none" w:sz="0" w:space="0" w:color="auto"/>
          </w:divBdr>
        </w:div>
      </w:divsChild>
    </w:div>
    <w:div w:id="1226063506">
      <w:bodyDiv w:val="1"/>
      <w:marLeft w:val="0"/>
      <w:marRight w:val="0"/>
      <w:marTop w:val="0"/>
      <w:marBottom w:val="0"/>
      <w:divBdr>
        <w:top w:val="none" w:sz="0" w:space="0" w:color="auto"/>
        <w:left w:val="none" w:sz="0" w:space="0" w:color="auto"/>
        <w:bottom w:val="none" w:sz="0" w:space="0" w:color="auto"/>
        <w:right w:val="none" w:sz="0" w:space="0" w:color="auto"/>
      </w:divBdr>
    </w:div>
    <w:div w:id="1379620723">
      <w:bodyDiv w:val="1"/>
      <w:marLeft w:val="0"/>
      <w:marRight w:val="0"/>
      <w:marTop w:val="0"/>
      <w:marBottom w:val="0"/>
      <w:divBdr>
        <w:top w:val="none" w:sz="0" w:space="0" w:color="auto"/>
        <w:left w:val="none" w:sz="0" w:space="0" w:color="auto"/>
        <w:bottom w:val="none" w:sz="0" w:space="0" w:color="auto"/>
        <w:right w:val="none" w:sz="0" w:space="0" w:color="auto"/>
      </w:divBdr>
      <w:divsChild>
        <w:div w:id="1168399125">
          <w:marLeft w:val="0"/>
          <w:marRight w:val="0"/>
          <w:marTop w:val="120"/>
          <w:marBottom w:val="360"/>
          <w:divBdr>
            <w:top w:val="none" w:sz="0" w:space="0" w:color="auto"/>
            <w:left w:val="none" w:sz="0" w:space="0" w:color="auto"/>
            <w:bottom w:val="none" w:sz="0" w:space="0" w:color="auto"/>
            <w:right w:val="none" w:sz="0" w:space="0" w:color="auto"/>
          </w:divBdr>
          <w:divsChild>
            <w:div w:id="14865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ncbi.nlm.nih.gov/pubmed/?term=Kelly%20C%5BAuthor%5D&amp;cauthor=true&amp;cauthor_uid=29373071" TargetMode="External"/><Relationship Id="rId18" Type="http://schemas.openxmlformats.org/officeDocument/2006/relationships/hyperlink" Target="https://www.ncbi.nlm.nih.gov/pubmed/29501363"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www.ncbi.nlm.nih.gov/pubmed/?term=Miller%20K%5BAuthor%5D&amp;cauthor=true&amp;cauthor_uid=29373071" TargetMode="External"/><Relationship Id="rId17" Type="http://schemas.openxmlformats.org/officeDocument/2006/relationships/hyperlink" Target="https://www.ncbi.nlm.nih.gov/pubmed/?term=Cortes%20J%5BAuthor%5D&amp;cauthor=true&amp;cauthor_uid=29373071" TargetMode="External"/><Relationship Id="rId2" Type="http://schemas.openxmlformats.org/officeDocument/2006/relationships/numbering" Target="numbering.xml"/><Relationship Id="rId16" Type="http://schemas.openxmlformats.org/officeDocument/2006/relationships/hyperlink" Target="https://www.ncbi.nlm.nih.gov/pubmed/?term=Tudor%20IC%5BAuthor%5D&amp;cauthor=true&amp;cauthor_uid=293730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Traina%20TA%5BAuthor%5D&amp;cauthor=true&amp;cauthor_uid=29373071" TargetMode="External"/><Relationship Id="rId5" Type="http://schemas.openxmlformats.org/officeDocument/2006/relationships/settings" Target="settings.xml"/><Relationship Id="rId15" Type="http://schemas.openxmlformats.org/officeDocument/2006/relationships/hyperlink" Target="https://www.ncbi.nlm.nih.gov/pubmed/?term=Garcia-Estevez%20L%5BAuthor%5D&amp;cauthor=true&amp;cauthor_uid=29373071" TargetMode="External"/><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s://www.ncbi.nlm.nih.gov/pubmed/?term=Nanda%20R%5BAuthor%5D&amp;cauthor=true&amp;cauthor_uid=2937307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2029-ECFF-4FA4-93D9-074A372D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10</Pages>
  <Words>5632</Words>
  <Characters>32103</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luigia nardone</dc:creator>
  <cp:keywords/>
  <dc:description/>
  <cp:lastModifiedBy>luigia nardone</cp:lastModifiedBy>
  <cp:revision>34</cp:revision>
  <dcterms:created xsi:type="dcterms:W3CDTF">2018-03-12T17:47:00Z</dcterms:created>
  <dcterms:modified xsi:type="dcterms:W3CDTF">2018-03-22T20:42:00Z</dcterms:modified>
</cp:coreProperties>
</file>